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eastAsia="方正小标宋简体"/>
          <w:color w:val="FF0000"/>
          <w:spacing w:val="-11"/>
          <w:sz w:val="52"/>
          <w:szCs w:val="52"/>
          <w:lang w:val="en-US" w:eastAsia="zh-CN"/>
        </w:rPr>
      </w:pPr>
      <w:r>
        <w:rPr>
          <w:rFonts w:hint="eastAsia" w:ascii="方正小标宋简体" w:eastAsia="方正小标宋简体"/>
          <w:color w:val="FF0000"/>
          <w:spacing w:val="-11"/>
          <w:sz w:val="52"/>
          <w:szCs w:val="52"/>
          <w:lang w:val="en-US" w:eastAsia="zh-CN"/>
        </w:rPr>
        <w:t>宁夏葡萄酒与防沙治沙职业技术学院</w:t>
      </w: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center"/>
        <w:textAlignment w:val="auto"/>
        <w:rPr>
          <w:rFonts w:hint="eastAsia" w:ascii="方正小标宋简体" w:eastAsia="方正小标宋简体"/>
          <w:color w:val="FF0000"/>
          <w:spacing w:val="0"/>
          <w:sz w:val="52"/>
          <w:szCs w:val="52"/>
          <w:lang w:val="en-US" w:eastAsia="zh-CN"/>
        </w:rPr>
      </w:pPr>
      <w:r>
        <w:rPr>
          <w:rFonts w:hint="eastAsia" w:ascii="方正小标宋简体" w:eastAsia="方正小标宋简体"/>
          <w:color w:val="FF0000"/>
          <w:spacing w:val="0"/>
          <w:sz w:val="52"/>
          <w:szCs w:val="52"/>
          <w:lang w:val="en-US" w:eastAsia="zh-CN"/>
        </w:rPr>
        <w:t>“不忘初心、牢记使命”主题教育</w:t>
      </w:r>
    </w:p>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ascii="方正小标宋简体" w:eastAsia="方正小标宋简体"/>
          <w:color w:val="FF0000"/>
          <w:spacing w:val="20"/>
          <w:sz w:val="52"/>
          <w:szCs w:val="72"/>
        </w:rPr>
      </w:pPr>
      <w:r>
        <w:rPr>
          <w:rFonts w:hint="eastAsia" w:ascii="方正小标宋简体" w:eastAsia="方正小标宋简体"/>
          <w:b/>
          <w:bCs/>
          <w:color w:val="FF0000"/>
          <w:spacing w:val="20"/>
          <w:kern w:val="2"/>
          <w:sz w:val="72"/>
          <w:szCs w:val="72"/>
          <w:lang w:eastAsia="zh-CN"/>
        </w:rPr>
        <w:t>简</w:t>
      </w:r>
      <w:r>
        <w:rPr>
          <w:rFonts w:hint="eastAsia" w:ascii="方正小标宋简体" w:eastAsia="方正小标宋简体"/>
          <w:b/>
          <w:bCs/>
          <w:color w:val="FF0000"/>
          <w:spacing w:val="20"/>
          <w:kern w:val="2"/>
          <w:sz w:val="72"/>
          <w:szCs w:val="72"/>
          <w:lang w:val="en-US" w:eastAsia="zh-CN"/>
        </w:rPr>
        <w:t xml:space="preserve">    </w:t>
      </w:r>
      <w:r>
        <w:rPr>
          <w:rFonts w:hint="eastAsia" w:ascii="方正小标宋简体" w:eastAsia="方正小标宋简体"/>
          <w:b/>
          <w:bCs/>
          <w:color w:val="FF0000"/>
          <w:spacing w:val="20"/>
          <w:kern w:val="2"/>
          <w:sz w:val="72"/>
          <w:szCs w:val="72"/>
          <w:lang w:eastAsia="zh-CN"/>
        </w:rPr>
        <w:t>报</w:t>
      </w:r>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center"/>
        <w:textAlignment w:val="auto"/>
        <w:outlineLvl w:val="9"/>
        <w:rPr>
          <w:rFonts w:hint="eastAsia" w:ascii="方正小标宋简体" w:eastAsia="方正小标宋简体"/>
          <w:color w:val="FF0000"/>
          <w:spacing w:val="20"/>
          <w:sz w:val="30"/>
          <w:szCs w:val="30"/>
        </w:rPr>
      </w:pPr>
      <w:r>
        <w:rPr>
          <w:rFonts w:hint="eastAsia" w:ascii="方正小标宋简体" w:eastAsia="方正小标宋简体"/>
          <w:color w:val="FF0000"/>
          <w:spacing w:val="20"/>
          <w:sz w:val="32"/>
          <w:szCs w:val="32"/>
        </w:rPr>
        <w:t>第</w:t>
      </w:r>
      <w:r>
        <w:rPr>
          <w:rFonts w:hint="eastAsia" w:ascii="方正小标宋简体" w:eastAsia="方正小标宋简体"/>
          <w:color w:val="FF0000"/>
          <w:spacing w:val="20"/>
          <w:sz w:val="32"/>
          <w:szCs w:val="32"/>
          <w:lang w:val="en-US" w:eastAsia="zh-CN"/>
        </w:rPr>
        <w:t>40</w:t>
      </w:r>
      <w:r>
        <w:rPr>
          <w:rFonts w:hint="eastAsia" w:ascii="方正小标宋简体" w:eastAsia="方正小标宋简体"/>
          <w:color w:val="FF0000"/>
          <w:spacing w:val="20"/>
          <w:sz w:val="32"/>
          <w:szCs w:val="32"/>
        </w:rPr>
        <w:t>期</w:t>
      </w:r>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300" w:firstLineChars="100"/>
        <w:jc w:val="left"/>
        <w:textAlignment w:val="auto"/>
        <w:outlineLvl w:val="9"/>
        <w:rPr>
          <w:rFonts w:hint="eastAsia" w:ascii="方正小标宋简体" w:eastAsia="方正小标宋简体"/>
          <w:color w:val="FF0000"/>
          <w:spacing w:val="20"/>
          <w:szCs w:val="64"/>
          <w:lang w:val="en-US" w:eastAsia="zh-CN"/>
        </w:rPr>
      </w:pPr>
      <w:r>
        <w:rPr>
          <w:rFonts w:hint="eastAsia" w:ascii="方正小标宋简体" w:eastAsia="方正小标宋简体"/>
          <w:color w:val="FF0000"/>
          <w:spacing w:val="0"/>
          <w:sz w:val="30"/>
          <w:szCs w:val="30"/>
          <w:lang w:val="en-US" w:eastAsia="zh-CN"/>
        </w:rPr>
        <w:t>学院主题教育领导小组办公室</w:t>
      </w:r>
      <w:r>
        <w:rPr>
          <w:rFonts w:hint="eastAsia" w:ascii="方正小标宋简体" w:eastAsia="方正小标宋简体"/>
          <w:color w:val="FF0000"/>
          <w:spacing w:val="20"/>
          <w:sz w:val="30"/>
          <w:szCs w:val="30"/>
          <w:lang w:val="en-US" w:eastAsia="zh-CN"/>
        </w:rPr>
        <w:t xml:space="preserve">         2019年11月12日                    </w:t>
      </w:r>
    </w:p>
    <w:p>
      <w:pPr>
        <w:spacing w:line="640" w:lineRule="exact"/>
        <w:jc w:val="both"/>
        <w:rPr>
          <w:sz w:val="32"/>
          <w:szCs w:val="32"/>
        </w:rPr>
      </w:pPr>
      <w: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54610</wp:posOffset>
                </wp:positionV>
                <wp:extent cx="5612130" cy="26670"/>
                <wp:effectExtent l="0" t="28575" r="1270" b="3365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12130" cy="26670"/>
                        </a:xfrm>
                        <a:prstGeom prst="line">
                          <a:avLst/>
                        </a:prstGeom>
                        <a:noFill/>
                        <a:ln w="57150" cmpd="thickThin">
                          <a:solidFill>
                            <a:srgbClr val="FF0000"/>
                          </a:solidFill>
                          <a:round/>
                        </a:ln>
                      </wps:spPr>
                      <wps:bodyPr/>
                    </wps:wsp>
                  </a:graphicData>
                </a:graphic>
              </wp:anchor>
            </w:drawing>
          </mc:Choice>
          <mc:Fallback>
            <w:pict>
              <v:line id="_x0000_s1026" o:spid="_x0000_s1026" o:spt="20" style="position:absolute;left:0pt;margin-left:-1.65pt;margin-top:4.3pt;height:2.1pt;width:441.9pt;z-index:251659264;mso-width-relative:page;mso-height-relative:page;" filled="f" stroked="t" coordsize="21600,21600" o:gfxdata="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xMjTtMAAAAHAQAADwAAAAAAAAABACAA&#10;AAAiAAAAZHJzL2Rvd25yZXYueG1sUEsBAhQAFAAAAAgAh07iQJS7UC7ZAQAAcgMAAA4AAAAAAAAA&#10;AQAgAAAAIgEAAGRycy9lMm9Eb2MueG1sUEsFBgAAAAAGAAYAWQEAAG0FAAAAAA==&#10;">
                <v:fill on="f" focussize="0,0"/>
                <v:stroke weight="4.5pt" color="#FF0000" linestyle="thickThin" joinstyle="round"/>
                <v:imagedata o:title=""/>
                <o:lock v:ext="edit" aspectratio="f"/>
              </v:line>
            </w:pict>
          </mc:Fallback>
        </mc:AlternateConten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学院召开深入学习贯彻党的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十九届四中全会精神学习研讨会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院党委把学习贯彻落实党的十九届四中全会精神作为当前重要的政治任务摆在重要位置，高度重视，精心部署。11月1日召开党委理论中心组学习会，第一时间学习全会精神。11月12日，党委书记赵兵主持召开学习专题研讨会。全体党委理论中心组成员参加会议。</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会上，学习传达了中央宣讲团党的十九届四中全会精神报告会和自治区党委书记陈润儿同志在主持报告会的讲话精神。2名同志围绕学习全会精神，结合自己成长历程、工作实际，谈了自己的学习体会和感想感悟。</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会议指出，</w:t>
      </w:r>
      <w:r>
        <w:rPr>
          <w:rFonts w:hint="eastAsia" w:ascii="仿宋_GB2312" w:hAnsi="仿宋_GB2312" w:eastAsia="仿宋_GB2312" w:cs="仿宋_GB2312"/>
          <w:sz w:val="32"/>
          <w:szCs w:val="32"/>
        </w:rPr>
        <w:t>习近平总书记</w:t>
      </w:r>
      <w:r>
        <w:rPr>
          <w:rFonts w:hint="eastAsia" w:ascii="仿宋_GB2312" w:hAnsi="仿宋_GB2312" w:eastAsia="仿宋_GB2312" w:cs="仿宋_GB2312"/>
          <w:sz w:val="32"/>
          <w:szCs w:val="32"/>
          <w:lang w:val="en-US" w:eastAsia="zh-CN"/>
        </w:rPr>
        <w:t>在党的十九届四中全会上</w:t>
      </w:r>
      <w:r>
        <w:rPr>
          <w:rFonts w:hint="eastAsia" w:ascii="仿宋_GB2312" w:hAnsi="仿宋_GB2312" w:eastAsia="仿宋_GB2312" w:cs="仿宋_GB2312"/>
          <w:sz w:val="32"/>
          <w:szCs w:val="32"/>
        </w:rPr>
        <w:t>的重要讲话，思想深邃、内涵丰富、论述精辟，对贯彻落实四中全会精神提出了明确要求，为我们指明了努力方向，提供了根本遵循。要全面把握、深刻领会党的十九届四中全会精神实质，围绕“坚持和完善中国特色社会主义制度、推进国家治理体系和治理能力现代化”这一重大命题，进一步提高认识，不断加深理解，切实把思想和行动统一到党中央全会精神上来。</w:t>
      </w:r>
      <w:r>
        <w:rPr>
          <w:rFonts w:hint="eastAsia" w:ascii="仿宋_GB2312" w:hAnsi="仿宋_GB2312" w:eastAsia="仿宋_GB2312" w:cs="仿宋_GB2312"/>
          <w:sz w:val="32"/>
          <w:szCs w:val="32"/>
          <w:lang w:val="en-US" w:eastAsia="zh-CN"/>
        </w:rPr>
        <w:t>各党支部要把深入学习贯彻党的十九届四中全会精神与“不忘初心、牢记使命”主题教育结合起来，与做好学院中心工作结合起来，与完成全年工作任务结合起来，与本职工作结合起来，</w:t>
      </w:r>
      <w:r>
        <w:rPr>
          <w:rFonts w:hint="eastAsia" w:ascii="仿宋_GB2312" w:hAnsi="仿宋_GB2312" w:eastAsia="仿宋_GB2312" w:cs="仿宋_GB2312"/>
          <w:sz w:val="32"/>
          <w:szCs w:val="32"/>
        </w:rPr>
        <w:t>一体推动、一体落实，不断推</w:t>
      </w:r>
      <w:r>
        <w:rPr>
          <w:rFonts w:hint="eastAsia" w:ascii="仿宋_GB2312" w:hAnsi="仿宋_GB2312" w:eastAsia="仿宋_GB2312" w:cs="仿宋_GB2312"/>
          <w:sz w:val="32"/>
          <w:szCs w:val="32"/>
          <w:lang w:val="en-US" w:eastAsia="zh-CN"/>
        </w:rPr>
        <w:t>进学院各项工作再上新台阶</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pStyle w:val="2"/>
        <w:ind w:left="0" w:leftChars="0" w:firstLine="0" w:firstLineChars="0"/>
        <w:rPr>
          <w:rFonts w:hint="eastAsia" w:ascii="仿宋_GB2312" w:hAnsi="仿宋_GB2312" w:eastAsia="仿宋_GB2312" w:cs="仿宋_GB2312"/>
          <w:sz w:val="32"/>
          <w:szCs w:val="32"/>
        </w:rPr>
      </w:pPr>
    </w:p>
    <w:tbl>
      <w:tblPr>
        <w:tblStyle w:val="8"/>
        <w:tblW w:w="9134" w:type="dxa"/>
        <w:jc w:val="center"/>
        <w:tblCellSpacing w:w="0" w:type="dxa"/>
        <w:tblInd w:w="0" w:type="dxa"/>
        <w:tblLayout w:type="fixed"/>
        <w:tblCellMar>
          <w:top w:w="0" w:type="dxa"/>
          <w:left w:w="0" w:type="dxa"/>
          <w:bottom w:w="0" w:type="dxa"/>
          <w:right w:w="0" w:type="dxa"/>
        </w:tblCellMar>
      </w:tblPr>
      <w:tblGrid>
        <w:gridCol w:w="9134"/>
      </w:tblGrid>
      <w:tr>
        <w:tblPrEx>
          <w:tblLayout w:type="fixed"/>
          <w:tblCellMar>
            <w:top w:w="0" w:type="dxa"/>
            <w:left w:w="0" w:type="dxa"/>
            <w:bottom w:w="0" w:type="dxa"/>
            <w:right w:w="0" w:type="dxa"/>
          </w:tblCellMar>
        </w:tblPrEx>
        <w:trPr>
          <w:tblCellSpacing w:w="0" w:type="dxa"/>
          <w:jc w:val="center"/>
        </w:trPr>
        <w:tc>
          <w:tcPr>
            <w:tcW w:w="9134"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tc>
      </w:tr>
    </w:tbl>
    <w:tbl>
      <w:tblPr>
        <w:tblStyle w:val="9"/>
        <w:tblpPr w:leftFromText="180" w:rightFromText="180" w:vertAnchor="text" w:horzAnchor="page" w:tblpX="1625" w:tblpY="1941"/>
        <w:tblOverlap w:val="never"/>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8" w:hRule="atLeast"/>
        </w:trPr>
        <w:tc>
          <w:tcPr>
            <w:tcW w:w="8900" w:type="dxa"/>
            <w:tcBorders>
              <w:left w:val="nil"/>
              <w:right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839" w:leftChars="133" w:hanging="560" w:hangingChars="200"/>
              <w:textAlignment w:val="auto"/>
              <w:rPr>
                <w:rFonts w:hint="eastAsia" w:ascii="仿宋_GB2312" w:hAnsi="仿宋_GB2312" w:eastAsia="仿宋_GB2312" w:cs="仿宋_GB2312"/>
                <w:sz w:val="28"/>
                <w:szCs w:val="28"/>
                <w:lang w:val="en-US" w:eastAsia="zh-CN"/>
              </w:rPr>
            </w:pPr>
            <w:r>
              <w:rPr>
                <w:rFonts w:hint="eastAsia" w:ascii="黑体" w:hAnsi="黑体" w:eastAsia="黑体" w:cs="黑体"/>
                <w:sz w:val="28"/>
                <w:szCs w:val="28"/>
                <w:lang w:val="en-US" w:eastAsia="zh-CN"/>
              </w:rPr>
              <w:t>报：</w:t>
            </w:r>
            <w:r>
              <w:rPr>
                <w:rFonts w:hint="eastAsia" w:ascii="仿宋_GB2312" w:hAnsi="仿宋_GB2312" w:eastAsia="仿宋_GB2312" w:cs="仿宋_GB2312"/>
                <w:sz w:val="28"/>
                <w:szCs w:val="28"/>
                <w:lang w:val="en-US" w:eastAsia="zh-CN"/>
              </w:rPr>
              <w:t>自治区“不忘初心、牢记使命”主题教育领导小组办公室，自治区第二批主题教育第七巡回指导组。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280" w:firstLineChars="100"/>
              <w:textAlignment w:val="auto"/>
              <w:rPr>
                <w:rFonts w:hint="eastAsia" w:ascii="仿宋_GB2312" w:hAnsi="仿宋_GB2312" w:eastAsia="仿宋_GB2312" w:cs="仿宋_GB2312"/>
                <w:sz w:val="28"/>
                <w:szCs w:val="28"/>
                <w:lang w:val="en-US" w:eastAsia="zh-CN"/>
              </w:rPr>
            </w:pPr>
            <w:r>
              <w:rPr>
                <w:rFonts w:hint="eastAsia" w:ascii="黑体" w:hAnsi="黑体" w:eastAsia="黑体" w:cs="黑体"/>
                <w:sz w:val="28"/>
                <w:szCs w:val="28"/>
                <w:lang w:val="en-US" w:eastAsia="zh-CN"/>
              </w:rPr>
              <w:t>送：</w:t>
            </w:r>
            <w:r>
              <w:rPr>
                <w:rFonts w:hint="eastAsia" w:ascii="仿宋_GB2312" w:hAnsi="仿宋_GB2312" w:eastAsia="仿宋_GB2312" w:cs="仿宋_GB2312"/>
                <w:sz w:val="28"/>
                <w:szCs w:val="28"/>
                <w:lang w:val="en-US" w:eastAsia="zh-CN"/>
              </w:rPr>
              <w:t>学院“不忘初心、牢记使命”主题教育领导小组成员。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280" w:firstLineChars="1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28"/>
                <w:szCs w:val="28"/>
                <w:lang w:val="en-US" w:eastAsia="zh-CN"/>
              </w:rPr>
              <w:t>发：</w:t>
            </w:r>
            <w:r>
              <w:rPr>
                <w:rFonts w:hint="eastAsia" w:ascii="仿宋_GB2312" w:hAnsi="仿宋_GB2312" w:eastAsia="仿宋_GB2312" w:cs="仿宋_GB2312"/>
                <w:sz w:val="28"/>
                <w:szCs w:val="28"/>
                <w:lang w:val="en-US" w:eastAsia="zh-CN"/>
              </w:rPr>
              <w:t>各党支部。</w:t>
            </w:r>
          </w:p>
        </w:tc>
      </w:tr>
    </w:tbl>
    <w:p>
      <w:pPr>
        <w:pStyle w:val="2"/>
        <w:keepNext w:val="0"/>
        <w:keepLines w:val="0"/>
        <w:pageBreakBefore w:val="0"/>
        <w:widowControl w:val="0"/>
        <w:kinsoku/>
        <w:wordWrap/>
        <w:overflowPunct/>
        <w:topLinePunct w:val="0"/>
        <w:autoSpaceDE/>
        <w:autoSpaceDN/>
        <w:bidi w:val="0"/>
        <w:adjustRightInd/>
        <w:snapToGrid/>
        <w:spacing w:after="0" w:line="14" w:lineRule="exact"/>
        <w:ind w:left="0" w:leftChars="0" w:firstLine="0" w:firstLineChars="0"/>
        <w:textAlignment w:val="auto"/>
        <w:rPr>
          <w:rFonts w:hint="eastAsia"/>
          <w:lang w:eastAsia="zh-CN"/>
        </w:rPr>
      </w:pPr>
    </w:p>
    <w:sectPr>
      <w:footerReference r:id="rId3" w:type="default"/>
      <w:pgSz w:w="11906" w:h="16838"/>
      <w:pgMar w:top="2064" w:right="1576" w:bottom="1440" w:left="157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109B2"/>
    <w:rsid w:val="00A143C9"/>
    <w:rsid w:val="0148345D"/>
    <w:rsid w:val="01B84927"/>
    <w:rsid w:val="02916A9D"/>
    <w:rsid w:val="030065C5"/>
    <w:rsid w:val="03D047E5"/>
    <w:rsid w:val="046C0E51"/>
    <w:rsid w:val="09DC7C0C"/>
    <w:rsid w:val="0A7F2DE4"/>
    <w:rsid w:val="0ADE2BB1"/>
    <w:rsid w:val="0B48452A"/>
    <w:rsid w:val="0B7074D8"/>
    <w:rsid w:val="0EFC19AA"/>
    <w:rsid w:val="0FD95FE5"/>
    <w:rsid w:val="10D76AB4"/>
    <w:rsid w:val="11963535"/>
    <w:rsid w:val="128E5B17"/>
    <w:rsid w:val="12F13313"/>
    <w:rsid w:val="143D1CB9"/>
    <w:rsid w:val="15FD3922"/>
    <w:rsid w:val="17B969AF"/>
    <w:rsid w:val="18B55207"/>
    <w:rsid w:val="18D24DAE"/>
    <w:rsid w:val="19623AB6"/>
    <w:rsid w:val="19762927"/>
    <w:rsid w:val="1A9B3BEA"/>
    <w:rsid w:val="1B336E88"/>
    <w:rsid w:val="1B9A648D"/>
    <w:rsid w:val="1C6D7D56"/>
    <w:rsid w:val="1CD66C4E"/>
    <w:rsid w:val="1D4D7F83"/>
    <w:rsid w:val="1E0C4A7C"/>
    <w:rsid w:val="1F5A6CF5"/>
    <w:rsid w:val="23151A88"/>
    <w:rsid w:val="23723E97"/>
    <w:rsid w:val="23B33551"/>
    <w:rsid w:val="23BA50B1"/>
    <w:rsid w:val="243C30F3"/>
    <w:rsid w:val="24734699"/>
    <w:rsid w:val="249016E6"/>
    <w:rsid w:val="26685AAC"/>
    <w:rsid w:val="27276E48"/>
    <w:rsid w:val="27DC7965"/>
    <w:rsid w:val="28E17994"/>
    <w:rsid w:val="28F81739"/>
    <w:rsid w:val="2B3A753B"/>
    <w:rsid w:val="2D206B53"/>
    <w:rsid w:val="2E112C56"/>
    <w:rsid w:val="2E217187"/>
    <w:rsid w:val="2E336966"/>
    <w:rsid w:val="2F4D07E4"/>
    <w:rsid w:val="30672AD2"/>
    <w:rsid w:val="31470B45"/>
    <w:rsid w:val="32284F39"/>
    <w:rsid w:val="323E4103"/>
    <w:rsid w:val="33B31C74"/>
    <w:rsid w:val="3479538E"/>
    <w:rsid w:val="349574DE"/>
    <w:rsid w:val="359A7A7B"/>
    <w:rsid w:val="36055297"/>
    <w:rsid w:val="365A0456"/>
    <w:rsid w:val="376A789A"/>
    <w:rsid w:val="38E15D0A"/>
    <w:rsid w:val="39A362AF"/>
    <w:rsid w:val="39B46F90"/>
    <w:rsid w:val="39C66AF9"/>
    <w:rsid w:val="3B6D0359"/>
    <w:rsid w:val="3DC62559"/>
    <w:rsid w:val="3E7C6541"/>
    <w:rsid w:val="3F52332F"/>
    <w:rsid w:val="40DF050F"/>
    <w:rsid w:val="417412E2"/>
    <w:rsid w:val="41BF0E87"/>
    <w:rsid w:val="41EF1FA4"/>
    <w:rsid w:val="421B26DF"/>
    <w:rsid w:val="424A44CB"/>
    <w:rsid w:val="44316B30"/>
    <w:rsid w:val="44A629C1"/>
    <w:rsid w:val="45070197"/>
    <w:rsid w:val="463B136B"/>
    <w:rsid w:val="467F1CBB"/>
    <w:rsid w:val="46A52C34"/>
    <w:rsid w:val="46E347BA"/>
    <w:rsid w:val="46F751AE"/>
    <w:rsid w:val="47E11625"/>
    <w:rsid w:val="488117B3"/>
    <w:rsid w:val="48BA6BA8"/>
    <w:rsid w:val="4C9A62C2"/>
    <w:rsid w:val="4D6134AA"/>
    <w:rsid w:val="4DA44C6F"/>
    <w:rsid w:val="4F007233"/>
    <w:rsid w:val="4FC32D22"/>
    <w:rsid w:val="504848C8"/>
    <w:rsid w:val="524F276C"/>
    <w:rsid w:val="57DF37FB"/>
    <w:rsid w:val="581412FA"/>
    <w:rsid w:val="5ABB1B37"/>
    <w:rsid w:val="5ADC1CC3"/>
    <w:rsid w:val="5BDF55C4"/>
    <w:rsid w:val="5C106B06"/>
    <w:rsid w:val="5C801156"/>
    <w:rsid w:val="5CB0709C"/>
    <w:rsid w:val="5D560737"/>
    <w:rsid w:val="5DBE03F7"/>
    <w:rsid w:val="5DC61BF9"/>
    <w:rsid w:val="5DF6596C"/>
    <w:rsid w:val="5F623DB3"/>
    <w:rsid w:val="607F78AF"/>
    <w:rsid w:val="60FB76CA"/>
    <w:rsid w:val="61AC01B0"/>
    <w:rsid w:val="63093D04"/>
    <w:rsid w:val="64965DF5"/>
    <w:rsid w:val="64997DE9"/>
    <w:rsid w:val="64C04AE7"/>
    <w:rsid w:val="64FA79CD"/>
    <w:rsid w:val="651740C8"/>
    <w:rsid w:val="66DF7E5C"/>
    <w:rsid w:val="6992658F"/>
    <w:rsid w:val="6A814EB1"/>
    <w:rsid w:val="6C085A0B"/>
    <w:rsid w:val="7003576E"/>
    <w:rsid w:val="70E06259"/>
    <w:rsid w:val="71462D8D"/>
    <w:rsid w:val="7176503D"/>
    <w:rsid w:val="72771A64"/>
    <w:rsid w:val="72D968A6"/>
    <w:rsid w:val="73E35EF0"/>
    <w:rsid w:val="74790337"/>
    <w:rsid w:val="755509F2"/>
    <w:rsid w:val="7576554D"/>
    <w:rsid w:val="764E306F"/>
    <w:rsid w:val="767146CC"/>
    <w:rsid w:val="79875273"/>
    <w:rsid w:val="7A1247C3"/>
    <w:rsid w:val="7B4D2B5E"/>
    <w:rsid w:val="7BF86493"/>
    <w:rsid w:val="7DFF4BCC"/>
    <w:rsid w:val="7F441FC9"/>
    <w:rsid w:val="7F4B6C79"/>
    <w:rsid w:val="7FBA5843"/>
    <w:rsid w:val="7FD777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Title"/>
    <w:basedOn w:val="1"/>
    <w:next w:val="1"/>
    <w:qFormat/>
    <w:uiPriority w:val="99"/>
    <w:pPr>
      <w:spacing w:before="240" w:after="60"/>
      <w:jc w:val="center"/>
      <w:outlineLvl w:val="0"/>
    </w:pPr>
    <w:rPr>
      <w:rFonts w:ascii="Arial" w:hAnsi="Arial" w:cs="Arial"/>
      <w:b/>
      <w:bCs/>
      <w:sz w:val="32"/>
      <w:szCs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vsbcontent_start"/>
    <w:basedOn w:val="1"/>
    <w:qFormat/>
    <w:uiPriority w:val="0"/>
    <w:rPr>
      <w:rFonts w:ascii="宋体" w:hAnsi="宋体" w:eastAsia="宋体"/>
      <w:color w:val="auto"/>
      <w:sz w:val="24"/>
      <w:szCs w:val="24"/>
    </w:rPr>
  </w:style>
  <w:style w:type="paragraph" w:styleId="12">
    <w:name w:val="No Spacing"/>
    <w:qFormat/>
    <w:uiPriority w:val="1"/>
    <w:pPr>
      <w:widowControl w:val="0"/>
      <w:jc w:val="both"/>
    </w:pPr>
    <w:rPr>
      <w:rFonts w:ascii="等线" w:hAnsi="等线" w:eastAsia="等线" w:cs="宋体"/>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赵庆玲</cp:lastModifiedBy>
  <cp:lastPrinted>2019-10-18T04:59:00Z</cp:lastPrinted>
  <dcterms:modified xsi:type="dcterms:W3CDTF">2019-11-12T14:44:12Z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