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400" w:after="200" w:line="240" w:lineRule="auto"/>
        <w:ind w:left="0" w:leftChars="0" w:firstLine="0" w:firstLineChars="0"/>
        <w:jc w:val="center"/>
        <w:textAlignment w:val="auto"/>
        <w:rPr>
          <w:rFonts w:hint="eastAsia" w:ascii="宋体" w:hAnsi="宋体" w:eastAsia="宋体" w:cs="宋体"/>
          <w:b/>
          <w:color w:val="auto"/>
          <w:spacing w:val="30"/>
          <w:sz w:val="36"/>
        </w:rPr>
      </w:pPr>
      <w:r>
        <w:rPr>
          <w:rFonts w:hint="eastAsia" w:ascii="宋体" w:hAnsi="宋体" w:eastAsia="宋体" w:cs="宋体"/>
          <w:b/>
          <w:color w:val="auto"/>
          <w:spacing w:val="30"/>
          <w:sz w:val="36"/>
        </w:rPr>
        <w:t>宁夏葡萄酒与防沙治沙职业技术学院</w:t>
      </w:r>
    </w:p>
    <w:p>
      <w:pPr>
        <w:keepNext w:val="0"/>
        <w:keepLines w:val="0"/>
        <w:pageBreakBefore w:val="0"/>
        <w:widowControl/>
        <w:kinsoku/>
        <w:wordWrap/>
        <w:overflowPunct/>
        <w:topLinePunct w:val="0"/>
        <w:autoSpaceDE/>
        <w:autoSpaceDN/>
        <w:bidi w:val="0"/>
        <w:adjustRightInd/>
        <w:snapToGrid/>
        <w:spacing w:before="400" w:after="200" w:line="240" w:lineRule="auto"/>
        <w:ind w:left="0" w:leftChars="0" w:firstLine="0" w:firstLineChars="0"/>
        <w:jc w:val="center"/>
        <w:textAlignment w:val="auto"/>
        <w:rPr>
          <w:rFonts w:hint="eastAsia" w:ascii="宋体" w:hAnsi="宋体" w:eastAsia="宋体" w:cs="宋体"/>
          <w:color w:val="auto"/>
        </w:rPr>
      </w:pPr>
      <w:r>
        <w:rPr>
          <w:rFonts w:hint="eastAsia" w:ascii="宋体" w:hAnsi="宋体" w:eastAsia="宋体" w:cs="宋体"/>
          <w:b/>
          <w:color w:val="auto"/>
          <w:spacing w:val="30"/>
          <w:sz w:val="36"/>
          <w:lang w:val="en-US" w:eastAsia="zh-CN"/>
        </w:rPr>
        <w:t>网络舆情与内容安全管理服务询</w:t>
      </w:r>
      <w:r>
        <w:rPr>
          <w:rFonts w:hint="eastAsia" w:ascii="宋体" w:hAnsi="宋体" w:cs="宋体"/>
          <w:b/>
          <w:color w:val="auto"/>
          <w:spacing w:val="30"/>
          <w:sz w:val="36"/>
          <w:lang w:val="en-US" w:eastAsia="zh-CN"/>
        </w:rPr>
        <w:t>价</w:t>
      </w:r>
      <w:r>
        <w:rPr>
          <w:rFonts w:hint="eastAsia" w:ascii="宋体" w:hAnsi="宋体" w:eastAsia="宋体" w:cs="宋体"/>
          <w:b/>
          <w:color w:val="auto"/>
          <w:spacing w:val="30"/>
          <w:sz w:val="36"/>
        </w:rPr>
        <w:t>方案</w:t>
      </w:r>
    </w:p>
    <w:p>
      <w:pPr>
        <w:rPr>
          <w:rFonts w:hint="eastAsia" w:ascii="宋体" w:hAnsi="宋体" w:eastAsia="宋体" w:cs="宋体"/>
          <w:color w:val="auto"/>
        </w:rPr>
      </w:pPr>
      <w:r>
        <w:rPr>
          <w:rFonts w:hint="eastAsia" w:ascii="宋体" w:hAnsi="宋体" w:eastAsia="宋体" w:cs="宋体"/>
          <w:color w:val="auto"/>
        </w:rPr>
        <w:t>为做好学院网络舆情</w:t>
      </w:r>
      <w:r>
        <w:rPr>
          <w:rFonts w:hint="eastAsia" w:ascii="宋体" w:hAnsi="宋体" w:cs="宋体"/>
          <w:color w:val="auto"/>
          <w:lang w:val="en-US" w:eastAsia="zh-CN"/>
        </w:rPr>
        <w:t>服务</w:t>
      </w:r>
      <w:r>
        <w:rPr>
          <w:rFonts w:hint="eastAsia" w:ascii="宋体" w:hAnsi="宋体" w:eastAsia="宋体" w:cs="宋体"/>
          <w:color w:val="auto"/>
        </w:rPr>
        <w:t>工作，及时掌握涉及学院的舆情动态，有效防范和化解舆情风险，营造良好舆论环境，拟通过比选方式确定舆情服务中选单位。为保证比选过程公开、公平、公正，特制定本方案。</w:t>
      </w:r>
    </w:p>
    <w:p>
      <w:pPr>
        <w:pStyle w:val="3"/>
        <w:pageBreakBefore w:val="0"/>
        <w:widowControl/>
        <w:kinsoku/>
        <w:wordWrap/>
        <w:overflowPunct/>
        <w:topLinePunct w:val="0"/>
        <w:autoSpaceDE/>
        <w:autoSpaceDN/>
        <w:bidi w:val="0"/>
        <w:adjustRightInd/>
        <w:snapToGrid/>
        <w:ind w:firstLine="562" w:firstLineChars="200"/>
        <w:textAlignment w:val="auto"/>
        <w:rPr>
          <w:rFonts w:hint="eastAsia" w:ascii="宋体" w:hAnsi="宋体" w:eastAsia="宋体" w:cs="宋体"/>
          <w:color w:val="auto"/>
        </w:rPr>
      </w:pPr>
      <w:r>
        <w:rPr>
          <w:rFonts w:hint="eastAsia" w:ascii="宋体" w:hAnsi="宋体" w:eastAsia="宋体" w:cs="宋体"/>
          <w:color w:val="auto"/>
        </w:rPr>
        <w:t>一、项目概况</w:t>
      </w:r>
    </w:p>
    <w:p>
      <w:pPr>
        <w:pageBreakBefore w:val="0"/>
        <w:widowControl/>
        <w:kinsoku/>
        <w:wordWrap/>
        <w:overflowPunct/>
        <w:topLinePunct w:val="0"/>
        <w:autoSpaceDE/>
        <w:autoSpaceDN/>
        <w:bidi w:val="0"/>
        <w:adjustRightInd/>
        <w:snapToGrid/>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b/>
          <w:color w:val="auto"/>
        </w:rPr>
        <w:t>项目名称：</w:t>
      </w:r>
      <w:r>
        <w:rPr>
          <w:rFonts w:hint="eastAsia" w:ascii="宋体" w:hAnsi="宋体" w:eastAsia="宋体" w:cs="宋体"/>
          <w:color w:val="auto"/>
        </w:rPr>
        <w:t>宁夏葡萄酒与防沙治沙职业技术学院2026年度</w:t>
      </w:r>
      <w:r>
        <w:rPr>
          <w:rFonts w:hint="eastAsia" w:ascii="宋体" w:hAnsi="宋体" w:eastAsia="宋体" w:cs="宋体"/>
          <w:color w:val="auto"/>
          <w:lang w:val="en-US" w:eastAsia="zh-CN"/>
        </w:rPr>
        <w:t>网络舆情与内容安全管理服务</w:t>
      </w:r>
      <w:r>
        <w:rPr>
          <w:rFonts w:hint="eastAsia" w:ascii="宋体" w:hAnsi="宋体" w:eastAsia="宋体" w:cs="宋体"/>
          <w:color w:val="auto"/>
        </w:rPr>
        <w:t>。</w:t>
      </w:r>
    </w:p>
    <w:p>
      <w:pPr>
        <w:pageBreakBefore w:val="0"/>
        <w:widowControl/>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vertAlign w:val="baseline"/>
        </w:rPr>
      </w:pPr>
      <w:r>
        <w:rPr>
          <w:rFonts w:hint="eastAsia" w:ascii="宋体" w:hAnsi="宋体" w:eastAsia="宋体" w:cs="宋体"/>
          <w:b/>
          <w:bCs/>
          <w:color w:val="auto"/>
        </w:rPr>
        <w:t>2.</w:t>
      </w:r>
      <w:r>
        <w:rPr>
          <w:rFonts w:hint="eastAsia" w:ascii="宋体" w:hAnsi="宋体" w:cs="宋体"/>
          <w:b/>
          <w:bCs/>
          <w:color w:val="auto"/>
          <w:lang w:val="en-US" w:eastAsia="zh-CN"/>
        </w:rPr>
        <w:t>服务</w:t>
      </w:r>
      <w:r>
        <w:rPr>
          <w:rFonts w:hint="eastAsia" w:ascii="宋体" w:hAnsi="宋体" w:eastAsia="宋体" w:cs="宋体"/>
          <w:b/>
          <w:bCs/>
          <w:color w:val="auto"/>
        </w:rPr>
        <w:t>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422"/>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2" w:type="dxa"/>
            <w:vAlign w:val="center"/>
          </w:tcPr>
          <w:p>
            <w:pPr>
              <w:widowControl w:val="0"/>
              <w:ind w:left="0" w:leftChars="0" w:firstLine="0" w:firstLineChars="0"/>
              <w:jc w:val="both"/>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序号</w:t>
            </w:r>
          </w:p>
        </w:tc>
        <w:tc>
          <w:tcPr>
            <w:tcW w:w="2422" w:type="dxa"/>
            <w:vAlign w:val="center"/>
          </w:tcPr>
          <w:p>
            <w:pPr>
              <w:widowControl w:val="0"/>
              <w:jc w:val="both"/>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服务项目</w:t>
            </w:r>
          </w:p>
        </w:tc>
        <w:tc>
          <w:tcPr>
            <w:tcW w:w="5767" w:type="dxa"/>
          </w:tcPr>
          <w:p>
            <w:pPr>
              <w:widowControl w:val="0"/>
              <w:jc w:val="both"/>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782" w:type="dxa"/>
            <w:vAlign w:val="center"/>
          </w:tcPr>
          <w:p>
            <w:pPr>
              <w:widowControl w:val="0"/>
              <w:ind w:left="0" w:leftChars="0" w:firstLine="0" w:firstLineChars="0"/>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1</w:t>
            </w:r>
          </w:p>
        </w:tc>
        <w:tc>
          <w:tcPr>
            <w:tcW w:w="2422" w:type="dxa"/>
            <w:vAlign w:val="center"/>
          </w:tcPr>
          <w:p>
            <w:pPr>
              <w:widowControl w:val="0"/>
              <w:jc w:val="both"/>
              <w:rPr>
                <w:rFonts w:hint="default" w:ascii="宋体" w:hAnsi="宋体" w:eastAsia="宋体" w:cs="宋体"/>
                <w:color w:val="auto"/>
                <w:vertAlign w:val="baseline"/>
                <w:lang w:val="en-US"/>
              </w:rPr>
            </w:pPr>
            <w:r>
              <w:rPr>
                <w:rFonts w:hint="eastAsia" w:ascii="宋体" w:hAnsi="宋体" w:cs="宋体"/>
                <w:color w:val="auto"/>
                <w:vertAlign w:val="baseline"/>
                <w:lang w:val="en-US" w:eastAsia="zh-CN"/>
              </w:rPr>
              <w:t>舆情服务</w:t>
            </w:r>
          </w:p>
        </w:tc>
        <w:tc>
          <w:tcPr>
            <w:tcW w:w="5767" w:type="dxa"/>
          </w:tcPr>
          <w:p>
            <w:pPr>
              <w:widowControl w:val="0"/>
              <w:ind w:left="0" w:leftChars="0" w:firstLine="0" w:firstLineChars="0"/>
              <w:jc w:val="both"/>
              <w:rPr>
                <w:rFonts w:hint="default" w:ascii="宋体" w:hAnsi="宋体" w:eastAsia="宋体" w:cs="宋体"/>
                <w:color w:val="auto"/>
                <w:vertAlign w:val="baseline"/>
                <w:lang w:val="en-US" w:eastAsia="zh-CN"/>
              </w:rPr>
            </w:pPr>
            <w:r>
              <w:rPr>
                <w:rFonts w:hint="eastAsia" w:ascii="宋体" w:hAnsi="宋体"/>
                <w:color w:val="000000"/>
                <w:sz w:val="24"/>
              </w:rPr>
              <w:t>提供</w:t>
            </w:r>
            <w:r>
              <w:rPr>
                <w:rFonts w:hint="eastAsia" w:ascii="宋体" w:hAnsi="宋体"/>
                <w:color w:val="000000"/>
                <w:sz w:val="24"/>
                <w:lang w:val="en-US" w:eastAsia="zh-CN"/>
              </w:rPr>
              <w:t>关于本校的</w:t>
            </w:r>
            <w:r>
              <w:rPr>
                <w:rFonts w:hint="eastAsia" w:ascii="宋体" w:hAnsi="宋体"/>
                <w:color w:val="000000"/>
                <w:sz w:val="24"/>
              </w:rPr>
              <w:t>互联网</w:t>
            </w:r>
            <w:r>
              <w:rPr>
                <w:rFonts w:hint="eastAsia" w:ascii="宋体" w:hAnsi="宋体"/>
                <w:color w:val="000000"/>
                <w:sz w:val="24"/>
                <w:lang w:val="en-US" w:eastAsia="zh-CN"/>
              </w:rPr>
              <w:t>文本、图片、短视频信息监测</w:t>
            </w:r>
            <w:r>
              <w:rPr>
                <w:rFonts w:hint="eastAsia" w:ascii="宋体" w:hAnsi="宋体"/>
                <w:color w:val="000000"/>
                <w:sz w:val="24"/>
              </w:rPr>
              <w:t>、系统预警、事件分析、系统报告、全网搜索等大数据服务。</w:t>
            </w:r>
            <w:r>
              <w:rPr>
                <w:rFonts w:hint="eastAsia" w:ascii="宋体" w:hAnsi="宋体"/>
                <w:color w:val="000000"/>
                <w:sz w:val="24"/>
                <w:lang w:val="en-US" w:eastAsia="zh-CN"/>
              </w:rPr>
              <w:t>每月一份涉我校的舆情月度报告；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2" w:type="dxa"/>
            <w:vAlign w:val="center"/>
          </w:tcPr>
          <w:p>
            <w:pPr>
              <w:widowControl w:val="0"/>
              <w:ind w:left="0" w:leftChars="0" w:firstLine="0" w:firstLineChars="0"/>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2</w:t>
            </w:r>
          </w:p>
        </w:tc>
        <w:tc>
          <w:tcPr>
            <w:tcW w:w="2422" w:type="dxa"/>
            <w:vAlign w:val="center"/>
          </w:tcPr>
          <w:p>
            <w:pPr>
              <w:widowControl w:val="0"/>
              <w:ind w:left="0" w:leftChars="0" w:firstLine="0" w:firstLineChars="0"/>
              <w:jc w:val="both"/>
              <w:rPr>
                <w:rFonts w:hint="eastAsia" w:ascii="宋体" w:hAnsi="宋体" w:eastAsia="宋体" w:cs="宋体"/>
                <w:color w:val="auto"/>
                <w:vertAlign w:val="baseline"/>
              </w:rPr>
            </w:pPr>
            <w:r>
              <w:rPr>
                <w:rFonts w:hint="eastAsia" w:ascii="宋体" w:hAnsi="宋体" w:cs="宋体"/>
                <w:color w:val="auto"/>
                <w:vertAlign w:val="baseline"/>
                <w:lang w:val="en-US" w:eastAsia="zh-CN"/>
              </w:rPr>
              <w:t>网站新媒体监测校对</w:t>
            </w:r>
          </w:p>
        </w:tc>
        <w:tc>
          <w:tcPr>
            <w:tcW w:w="5767" w:type="dxa"/>
          </w:tcPr>
          <w:p>
            <w:pPr>
              <w:widowControl w:val="0"/>
              <w:ind w:left="0" w:leftChars="0" w:firstLine="0" w:firstLineChars="0"/>
              <w:jc w:val="both"/>
              <w:rPr>
                <w:rFonts w:hint="eastAsia" w:ascii="宋体" w:hAnsi="宋体" w:eastAsia="宋体" w:cs="宋体"/>
                <w:color w:val="auto"/>
                <w:vertAlign w:val="baseline"/>
                <w:lang w:eastAsia="zh-CN"/>
              </w:rPr>
            </w:pPr>
            <w:r>
              <w:rPr>
                <w:rFonts w:hint="eastAsia" w:ascii="宋体" w:hAnsi="宋体"/>
                <w:bCs/>
                <w:color w:val="000000"/>
                <w:sz w:val="24"/>
              </w:rPr>
              <w:t>提供在线文字标点差错校对、敏感政治性错误校对、违规敏感内容识别、知识性差错校对、自定义错敏词校对的在线文本智能校对服务</w:t>
            </w:r>
            <w:r>
              <w:rPr>
                <w:rFonts w:hint="eastAsia" w:ascii="宋体" w:hAnsi="宋体"/>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2" w:type="dxa"/>
            <w:vAlign w:val="center"/>
          </w:tcPr>
          <w:p>
            <w:pPr>
              <w:widowControl w:val="0"/>
              <w:ind w:left="0" w:leftChars="0" w:firstLine="0" w:firstLineChars="0"/>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3</w:t>
            </w:r>
          </w:p>
        </w:tc>
        <w:tc>
          <w:tcPr>
            <w:tcW w:w="2422" w:type="dxa"/>
            <w:vAlign w:val="center"/>
          </w:tcPr>
          <w:p>
            <w:pPr>
              <w:widowControl w:val="0"/>
              <w:jc w:val="both"/>
              <w:rPr>
                <w:rFonts w:hint="eastAsia" w:ascii="宋体" w:hAnsi="宋体" w:eastAsia="宋体" w:cs="宋体"/>
                <w:color w:val="auto"/>
                <w:vertAlign w:val="baseline"/>
              </w:rPr>
            </w:pPr>
            <w:r>
              <w:rPr>
                <w:rFonts w:hint="eastAsia" w:ascii="宋体" w:hAnsi="宋体" w:cs="宋体"/>
                <w:color w:val="auto"/>
                <w:vertAlign w:val="baseline"/>
                <w:lang w:val="en-US" w:eastAsia="zh-CN"/>
              </w:rPr>
              <w:t>舆情培训</w:t>
            </w:r>
          </w:p>
        </w:tc>
        <w:tc>
          <w:tcPr>
            <w:tcW w:w="5767" w:type="dxa"/>
          </w:tcPr>
          <w:p>
            <w:pPr>
              <w:widowControl w:val="0"/>
              <w:ind w:left="0" w:leftChars="0" w:firstLine="0" w:firstLineChars="0"/>
              <w:jc w:val="both"/>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提供舆情系统培训，包括但不限更新迭代的功能培训；</w:t>
            </w:r>
            <w:r>
              <w:rPr>
                <w:rFonts w:hint="eastAsia"/>
                <w:vertAlign w:val="baseline"/>
                <w:lang w:val="en-US" w:eastAsia="zh-CN"/>
              </w:rPr>
              <w:t>提供一年一次的具有针对性的校园培训，其他高校的典型事件和及时性的事件，以及本校事件；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2" w:type="dxa"/>
            <w:vAlign w:val="center"/>
          </w:tcPr>
          <w:p>
            <w:pPr>
              <w:widowControl w:val="0"/>
              <w:ind w:left="0" w:leftChars="0" w:firstLine="0" w:firstLineChars="0"/>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4</w:t>
            </w:r>
          </w:p>
        </w:tc>
        <w:tc>
          <w:tcPr>
            <w:tcW w:w="2422" w:type="dxa"/>
            <w:vAlign w:val="center"/>
          </w:tcPr>
          <w:p>
            <w:pPr>
              <w:widowControl w:val="0"/>
              <w:jc w:val="both"/>
              <w:rPr>
                <w:rFonts w:hint="eastAsia" w:ascii="宋体" w:hAnsi="宋体" w:eastAsia="宋体" w:cs="宋体"/>
                <w:color w:val="auto"/>
                <w:vertAlign w:val="baseline"/>
              </w:rPr>
            </w:pPr>
            <w:r>
              <w:rPr>
                <w:rFonts w:hint="eastAsia" w:ascii="宋体" w:hAnsi="宋体" w:cs="宋体"/>
                <w:color w:val="auto"/>
                <w:vertAlign w:val="baseline"/>
                <w:lang w:val="en-US" w:eastAsia="zh-CN"/>
              </w:rPr>
              <w:t>应急处置应对</w:t>
            </w:r>
          </w:p>
        </w:tc>
        <w:tc>
          <w:tcPr>
            <w:tcW w:w="5767" w:type="dxa"/>
          </w:tcPr>
          <w:p>
            <w:pPr>
              <w:widowControl w:val="0"/>
              <w:ind w:left="0" w:leftChars="0" w:firstLine="0" w:firstLineChars="0"/>
              <w:jc w:val="both"/>
              <w:rPr>
                <w:rFonts w:hint="eastAsia" w:ascii="宋体" w:hAnsi="宋体" w:eastAsia="宋体" w:cs="宋体"/>
                <w:color w:val="auto"/>
                <w:vertAlign w:val="baseline"/>
              </w:rPr>
            </w:pPr>
            <w:r>
              <w:rPr>
                <w:rFonts w:hint="eastAsia"/>
                <w:vertAlign w:val="baseline"/>
                <w:lang w:val="en-US" w:eastAsia="zh-CN"/>
              </w:rPr>
              <w:t>针对学校突发事件时，需要提供支持对事件的咨询，进行研判建议，并进行处置指导建议，必要时要协助学校进行精准处置并得到学校的认可，处置3次以内（包含3次），不得额外增加费用。</w:t>
            </w:r>
          </w:p>
        </w:tc>
      </w:tr>
    </w:tbl>
    <w:p>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b/>
          <w:color w:val="auto"/>
        </w:rPr>
        <w:t>预算金额：</w:t>
      </w:r>
      <w:r>
        <w:rPr>
          <w:rFonts w:hint="eastAsia" w:ascii="宋体" w:hAnsi="宋体" w:eastAsia="宋体" w:cs="宋体"/>
          <w:color w:val="auto"/>
        </w:rPr>
        <w:t>人民币</w:t>
      </w:r>
      <w:r>
        <w:rPr>
          <w:rFonts w:hint="eastAsia" w:ascii="宋体" w:hAnsi="宋体" w:cs="宋体"/>
          <w:color w:val="auto"/>
          <w:lang w:val="en-US" w:eastAsia="zh-CN"/>
        </w:rPr>
        <w:t>9.8</w:t>
      </w:r>
      <w:bookmarkStart w:id="1" w:name="_GoBack"/>
      <w:bookmarkEnd w:id="1"/>
      <w:r>
        <w:rPr>
          <w:rFonts w:hint="eastAsia" w:ascii="宋体" w:hAnsi="宋体" w:eastAsia="宋体" w:cs="宋体"/>
          <w:color w:val="auto"/>
        </w:rPr>
        <w:t>万元。</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b/>
          <w:color w:val="auto"/>
        </w:rPr>
        <w:t>服务期限：</w:t>
      </w:r>
      <w:r>
        <w:rPr>
          <w:rFonts w:hint="eastAsia" w:ascii="宋体" w:hAnsi="宋体" w:cs="宋体"/>
          <w:b w:val="0"/>
          <w:bCs/>
          <w:color w:val="auto"/>
          <w:lang w:val="en-US" w:eastAsia="zh-CN"/>
        </w:rPr>
        <w:t>自合同签订之日起一年</w:t>
      </w:r>
      <w:r>
        <w:rPr>
          <w:rFonts w:hint="eastAsia" w:ascii="宋体" w:hAnsi="宋体" w:eastAsia="宋体" w:cs="宋体"/>
          <w:b w:val="0"/>
          <w:bCs/>
          <w:color w:val="auto"/>
        </w:rPr>
        <w:t>。</w:t>
      </w:r>
    </w:p>
    <w:p>
      <w:pPr>
        <w:pStyle w:val="3"/>
        <w:rPr>
          <w:rFonts w:hint="default" w:ascii="宋体" w:hAnsi="宋体" w:eastAsia="宋体" w:cs="宋体"/>
          <w:color w:val="auto"/>
          <w:lang w:val="en-US" w:eastAsia="zh-CN"/>
        </w:rPr>
      </w:pPr>
      <w:r>
        <w:rPr>
          <w:rFonts w:hint="eastAsia" w:ascii="宋体" w:hAnsi="宋体" w:eastAsia="宋体" w:cs="宋体"/>
          <w:color w:val="auto"/>
        </w:rPr>
        <w:t>二、比选方式</w:t>
      </w:r>
      <w:r>
        <w:rPr>
          <w:rFonts w:hint="eastAsia" w:ascii="宋体" w:hAnsi="宋体" w:eastAsia="宋体" w:cs="宋体"/>
          <w:color w:val="auto"/>
          <w:lang w:val="en-US" w:eastAsia="zh-CN"/>
        </w:rPr>
        <w:t>及评分</w:t>
      </w:r>
    </w:p>
    <w:p>
      <w:pPr>
        <w:rPr>
          <w:rFonts w:hint="eastAsia" w:ascii="宋体" w:hAnsi="宋体" w:eastAsia="宋体" w:cs="宋体"/>
          <w:color w:val="auto"/>
        </w:rPr>
      </w:pPr>
      <w:r>
        <w:rPr>
          <w:rFonts w:hint="eastAsia" w:ascii="宋体" w:hAnsi="宋体" w:cs="宋体"/>
          <w:color w:val="auto"/>
          <w:lang w:val="en-US" w:eastAsia="zh-CN"/>
        </w:rPr>
        <w:t>1、</w:t>
      </w:r>
      <w:r>
        <w:rPr>
          <w:rFonts w:hint="eastAsia" w:ascii="宋体" w:hAnsi="宋体" w:eastAsia="宋体" w:cs="宋体"/>
          <w:color w:val="auto"/>
        </w:rPr>
        <w:t>本次比选采用综合评分法。学院成立比选评审小组（3人），对参选单位的资质、业绩、方案、报价等进行综合评审，择优确定中选单位。</w:t>
      </w:r>
    </w:p>
    <w:p>
      <w:pPr>
        <w:rPr>
          <w:rFonts w:hint="eastAsia" w:ascii="宋体" w:hAnsi="宋体" w:cs="宋体"/>
          <w:color w:val="auto"/>
          <w:lang w:val="en-US" w:eastAsia="zh-CN"/>
        </w:rPr>
      </w:pPr>
      <w:r>
        <w:rPr>
          <w:rFonts w:hint="eastAsia" w:ascii="宋体" w:hAnsi="宋体" w:cs="宋体"/>
          <w:color w:val="auto"/>
          <w:lang w:val="en-US" w:eastAsia="zh-CN"/>
        </w:rPr>
        <w:t>2、综合评分指标，</w:t>
      </w:r>
      <w:r>
        <w:rPr>
          <w:rFonts w:hint="eastAsia" w:ascii="宋体" w:hAnsi="宋体" w:eastAsia="宋体" w:cs="宋体"/>
          <w:color w:val="auto"/>
        </w:rPr>
        <w:t>五项得分相加即为最终得分，满分为100分。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7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12" w:type="dxa"/>
            <w:vAlign w:val="center"/>
          </w:tcPr>
          <w:p>
            <w:pPr>
              <w:widowControl w:val="0"/>
              <w:ind w:left="0" w:leftChars="0" w:firstLine="0" w:firstLineChars="0"/>
              <w:jc w:val="both"/>
              <w:rPr>
                <w:rFonts w:hint="default"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项目评分</w:t>
            </w:r>
          </w:p>
        </w:tc>
        <w:tc>
          <w:tcPr>
            <w:tcW w:w="7771" w:type="dxa"/>
            <w:vAlign w:val="center"/>
          </w:tcPr>
          <w:p>
            <w:pPr>
              <w:widowControl w:val="0"/>
              <w:jc w:val="center"/>
              <w:rPr>
                <w:rFonts w:hint="default"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1312" w:type="dxa"/>
            <w:vAlign w:val="center"/>
          </w:tcPr>
          <w:p>
            <w:pPr>
              <w:widowControl w:val="0"/>
              <w:ind w:left="0" w:leftChars="0" w:firstLine="0" w:firstLineChars="0"/>
              <w:jc w:val="both"/>
              <w:rPr>
                <w:rFonts w:hint="eastAsia"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报价得分</w:t>
            </w:r>
          </w:p>
          <w:p>
            <w:pPr>
              <w:widowControl w:val="0"/>
              <w:ind w:left="0" w:leftChars="0" w:firstLine="0" w:firstLineChars="0"/>
              <w:jc w:val="both"/>
              <w:rPr>
                <w:rFonts w:hint="default"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（14分）</w:t>
            </w:r>
          </w:p>
        </w:tc>
        <w:tc>
          <w:tcPr>
            <w:tcW w:w="7771" w:type="dxa"/>
            <w:vAlign w:val="top"/>
          </w:tcPr>
          <w:p>
            <w:pPr>
              <w:pStyle w:val="9"/>
              <w:keepNext w:val="0"/>
              <w:keepLines w:val="0"/>
              <w:pageBreakBefore w:val="0"/>
              <w:widowControl/>
              <w:kinsoku/>
              <w:wordWrap/>
              <w:overflowPunct/>
              <w:topLinePunct w:val="0"/>
              <w:autoSpaceDE/>
              <w:autoSpaceDN/>
              <w:bidi w:val="0"/>
              <w:adjustRightInd/>
              <w:snapToGrid/>
              <w:spacing w:before="66" w:line="360" w:lineRule="auto"/>
              <w:ind w:left="198" w:firstLine="482"/>
              <w:textAlignment w:val="auto"/>
              <w:rPr>
                <w:rFonts w:hint="default" w:ascii="宋体" w:hAnsi="宋体" w:cs="宋体"/>
                <w:color w:val="auto"/>
                <w:sz w:val="21"/>
                <w:szCs w:val="21"/>
                <w:vertAlign w:val="baseline"/>
                <w:lang w:val="en-US" w:eastAsia="zh-CN"/>
              </w:rPr>
            </w:pPr>
            <w:r>
              <w:rPr>
                <w:rFonts w:hint="eastAsia" w:ascii="宋体" w:hAnsi="宋体" w:eastAsia="宋体" w:cs="宋体"/>
                <w:color w:val="auto"/>
                <w:sz w:val="21"/>
                <w:szCs w:val="21"/>
                <w:lang/>
              </w:rPr>
              <w:t>价格分采用基准价法计算。以所有有效报价中的最低报价为基准价，报价得分=（基准价/报价）x</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rPr>
              <w:t>0。报价超过</w:t>
            </w:r>
            <w:r>
              <w:rPr>
                <w:rFonts w:hint="eastAsia" w:ascii="宋体" w:hAnsi="宋体" w:eastAsia="宋体" w:cs="宋体"/>
                <w:color w:val="auto"/>
                <w:sz w:val="21"/>
                <w:szCs w:val="21"/>
                <w:lang w:val="en-US" w:eastAsia="zh-CN"/>
              </w:rPr>
              <w:t>预算金额</w:t>
            </w:r>
            <w:r>
              <w:rPr>
                <w:rFonts w:hint="eastAsia" w:ascii="宋体" w:hAnsi="宋体" w:eastAsia="宋体" w:cs="宋体"/>
                <w:color w:val="auto"/>
                <w:sz w:val="21"/>
                <w:szCs w:val="21"/>
                <w:lang/>
              </w:rPr>
              <w:t>的视为无效响应。得分保留小数点后两位，四舍五入。</w:t>
            </w:r>
            <w:bookmarkStart w:id="0" w:name="OLE_LINK1"/>
            <w:r>
              <w:rPr>
                <w:rFonts w:hint="eastAsia" w:ascii="宋体" w:hAnsi="宋体" w:eastAsia="宋体" w:cs="宋体"/>
                <w:color w:val="auto"/>
                <w:sz w:val="21"/>
                <w:szCs w:val="21"/>
                <w:lang/>
              </w:rPr>
              <w:t>供应商的报价明显低于其他通过符合性审查供应商的报价，有可能影响质量或者不能诚信履约的，应当要求其在</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lang/>
              </w:rPr>
              <w:t>现场合理的时间内提供书面说明，必要时提交相关证明材料；供应商不能证明其报价合理性的，</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lang/>
              </w:rPr>
              <w:t>小组应当将其作为无效投标处理。</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pPr>
              <w:widowControl w:val="0"/>
              <w:ind w:left="0" w:leftChars="0" w:firstLine="0" w:firstLineChars="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业绩</w:t>
            </w:r>
            <w:r>
              <w:rPr>
                <w:rFonts w:hint="eastAsia" w:ascii="宋体" w:hAnsi="宋体" w:eastAsia="宋体" w:cs="宋体"/>
                <w:b/>
                <w:bCs/>
                <w:color w:val="auto"/>
                <w:sz w:val="24"/>
                <w:szCs w:val="24"/>
                <w:lang w:val="en-US" w:eastAsia="zh-CN"/>
              </w:rPr>
              <w:t>得分</w:t>
            </w:r>
          </w:p>
          <w:p>
            <w:pPr>
              <w:pStyle w:val="2"/>
              <w:widowControl w:val="0"/>
              <w:ind w:left="0" w:leftChars="0" w:firstLine="0" w:firstLineChars="0"/>
              <w:jc w:val="both"/>
              <w:rPr>
                <w:rFonts w:hint="default"/>
                <w:b/>
                <w:bCs/>
                <w:sz w:val="24"/>
                <w:szCs w:val="24"/>
                <w:lang w:val="en-US" w:eastAsia="zh-CN"/>
              </w:rPr>
            </w:pPr>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0</w:t>
            </w:r>
            <w:r>
              <w:rPr>
                <w:rFonts w:hint="eastAsia" w:ascii="宋体" w:hAnsi="宋体" w:eastAsia="宋体" w:cs="宋体"/>
                <w:b/>
                <w:bCs/>
                <w:color w:val="auto"/>
                <w:sz w:val="24"/>
                <w:szCs w:val="24"/>
                <w:lang w:val="en-US" w:eastAsia="zh-CN"/>
              </w:rPr>
              <w:t>分）</w:t>
            </w:r>
          </w:p>
        </w:tc>
        <w:tc>
          <w:tcPr>
            <w:tcW w:w="7771" w:type="dxa"/>
            <w:vAlign w:val="top"/>
          </w:tcPr>
          <w:p>
            <w:pPr>
              <w:widowControl w:val="0"/>
              <w:ind w:firstLine="0"/>
              <w:jc w:val="both"/>
              <w:rPr>
                <w:rFonts w:hint="eastAsia" w:ascii="宋体" w:hAnsi="宋体" w:eastAsia="宋体" w:cs="宋体"/>
                <w:color w:val="auto"/>
                <w:sz w:val="21"/>
                <w:szCs w:val="21"/>
              </w:rPr>
            </w:pPr>
            <w:r>
              <w:rPr>
                <w:rFonts w:hint="eastAsia" w:ascii="宋体" w:hAnsi="宋体" w:eastAsia="宋体" w:cs="宋体"/>
                <w:color w:val="auto"/>
                <w:sz w:val="21"/>
                <w:szCs w:val="21"/>
              </w:rPr>
              <w:t>（1）提供2023年至今的高校或行政事业单位舆情监测服务业绩的，每提供一份有效合同得2分，最高得分6分。</w:t>
            </w:r>
          </w:p>
          <w:p>
            <w:pPr>
              <w:widowControl w:val="0"/>
              <w:ind w:firstLine="0"/>
              <w:jc w:val="both"/>
              <w:rPr>
                <w:rFonts w:hint="eastAsia" w:ascii="宋体" w:hAnsi="宋体" w:eastAsia="宋体" w:cs="宋体"/>
                <w:color w:val="auto"/>
                <w:sz w:val="21"/>
                <w:szCs w:val="21"/>
              </w:rPr>
            </w:pPr>
            <w:r>
              <w:rPr>
                <w:rFonts w:hint="eastAsia" w:ascii="宋体" w:hAnsi="宋体" w:eastAsia="宋体" w:cs="宋体"/>
                <w:color w:val="auto"/>
                <w:sz w:val="21"/>
                <w:szCs w:val="21"/>
              </w:rPr>
              <w:t>（2）近三年无行业惩戒记录得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w:t>
            </w:r>
          </w:p>
          <w:p>
            <w:pPr>
              <w:widowControl w:val="0"/>
              <w:ind w:firstLine="0"/>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提供相关系统软件著作权证书</w:t>
            </w:r>
            <w:r>
              <w:rPr>
                <w:rFonts w:hint="eastAsia" w:ascii="宋体" w:hAnsi="宋体" w:eastAsia="宋体" w:cs="宋体"/>
                <w:color w:val="auto"/>
                <w:sz w:val="21"/>
                <w:szCs w:val="21"/>
              </w:rPr>
              <w:t>，每项得1分，最高得分2分。</w:t>
            </w:r>
          </w:p>
          <w:p>
            <w:pPr>
              <w:widowControl w:val="0"/>
              <w:ind w:firstLine="0"/>
              <w:jc w:val="both"/>
              <w:rPr>
                <w:rFonts w:hint="default"/>
                <w:sz w:val="21"/>
                <w:szCs w:val="21"/>
                <w:lang w:val="en-US" w:eastAsia="zh-CN"/>
              </w:rPr>
            </w:pPr>
            <w:r>
              <w:rPr>
                <w:rFonts w:hint="eastAsia" w:ascii="宋体" w:hAnsi="宋体" w:eastAsia="宋体" w:cs="宋体"/>
                <w:b/>
                <w:color w:val="auto"/>
                <w:sz w:val="21"/>
                <w:szCs w:val="21"/>
              </w:rPr>
              <w:t>以上均需提供相关证明材料并加盖公章。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pPr>
              <w:widowControl w:val="0"/>
              <w:ind w:left="0" w:leftChars="0" w:firstLine="0" w:firstLineChars="0"/>
              <w:jc w:val="both"/>
              <w:rPr>
                <w:rFonts w:hint="eastAsia"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项目团队</w:t>
            </w:r>
          </w:p>
          <w:p>
            <w:pPr>
              <w:pStyle w:val="2"/>
              <w:widowControl w:val="0"/>
              <w:ind w:left="0" w:leftChars="0" w:firstLine="0" w:firstLineChars="0"/>
              <w:jc w:val="both"/>
              <w:rPr>
                <w:rFonts w:hint="default"/>
                <w:b/>
                <w:bCs/>
                <w:sz w:val="24"/>
                <w:szCs w:val="24"/>
                <w:lang w:val="en-US" w:eastAsia="zh-CN"/>
              </w:rPr>
            </w:pPr>
            <w:r>
              <w:rPr>
                <w:rFonts w:hint="eastAsia" w:ascii="宋体" w:hAnsi="宋体" w:cs="宋体"/>
                <w:b/>
                <w:bCs/>
                <w:color w:val="auto"/>
                <w:sz w:val="24"/>
                <w:szCs w:val="24"/>
                <w:vertAlign w:val="baseline"/>
                <w:lang w:val="en-US" w:eastAsia="zh-CN"/>
              </w:rPr>
              <w:t>（17分）</w:t>
            </w:r>
          </w:p>
        </w:tc>
        <w:tc>
          <w:tcPr>
            <w:tcW w:w="7771" w:type="dxa"/>
            <w:vAlign w:val="top"/>
          </w:tcPr>
          <w:p>
            <w:pPr>
              <w:widowControl w:val="0"/>
              <w:ind w:firstLine="0"/>
              <w:jc w:val="both"/>
              <w:rPr>
                <w:rFonts w:hint="eastAsia" w:ascii="宋体" w:hAnsi="宋体" w:eastAsia="宋体" w:cs="宋体"/>
                <w:color w:val="auto"/>
                <w:sz w:val="21"/>
                <w:szCs w:val="21"/>
              </w:rPr>
            </w:pPr>
            <w:r>
              <w:rPr>
                <w:rFonts w:hint="eastAsia" w:ascii="宋体" w:hAnsi="宋体" w:eastAsia="宋体" w:cs="宋体"/>
                <w:color w:val="auto"/>
                <w:sz w:val="21"/>
                <w:szCs w:val="21"/>
              </w:rPr>
              <w:t>（1）项目负责人须具备3年以上舆情监测工作经验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需提供承诺函</w:t>
            </w:r>
            <w:r>
              <w:rPr>
                <w:rFonts w:hint="eastAsia" w:ascii="宋体" w:hAnsi="宋体" w:eastAsia="宋体" w:cs="宋体"/>
                <w:color w:val="auto"/>
                <w:sz w:val="21"/>
                <w:szCs w:val="21"/>
              </w:rPr>
              <w:t>，具有舆情分析师或相关职业资格证书的得4分，没有不得分；有高校或行政事业单位舆情监测项目负责人经验的得3分，最高得分7分。</w:t>
            </w:r>
          </w:p>
          <w:p>
            <w:pPr>
              <w:widowControl w:val="0"/>
              <w:ind w:firstLine="0"/>
              <w:jc w:val="both"/>
              <w:rPr>
                <w:rFonts w:hint="eastAsia" w:ascii="宋体" w:hAnsi="宋体" w:eastAsia="宋体" w:cs="宋体"/>
                <w:color w:val="auto"/>
                <w:sz w:val="21"/>
                <w:szCs w:val="21"/>
              </w:rPr>
            </w:pPr>
            <w:r>
              <w:rPr>
                <w:rFonts w:hint="eastAsia" w:ascii="宋体" w:hAnsi="宋体" w:eastAsia="宋体" w:cs="宋体"/>
                <w:color w:val="auto"/>
                <w:sz w:val="21"/>
                <w:szCs w:val="21"/>
              </w:rPr>
              <w:t>（2）团队成员基本人数要求为2人：满足基本人数要求的得3分。在此基础上，具有中级以上职称（含中级）或舆情分析师等相关资格证书的，每提供1人加1分，最高得分5分。</w:t>
            </w:r>
          </w:p>
          <w:p>
            <w:pPr>
              <w:pStyle w:val="2"/>
              <w:ind w:left="0" w:leftChars="0" w:firstLine="0" w:firstLineChars="0"/>
              <w:rPr>
                <w:rFonts w:hint="default" w:eastAsia="宋体"/>
                <w:lang w:val="en-US" w:eastAsia="zh-CN"/>
              </w:rPr>
            </w:pPr>
            <w:r>
              <w:rPr>
                <w:rFonts w:hint="eastAsia" w:ascii="宋体" w:hAnsi="宋体" w:cs="宋体"/>
                <w:color w:val="auto"/>
                <w:sz w:val="21"/>
                <w:szCs w:val="21"/>
                <w:lang w:val="en-US" w:eastAsia="zh-CN"/>
              </w:rPr>
              <w:t>(3)培训讲师须了解宁夏地区舆情特点，在本地有相关培训经验。</w:t>
            </w:r>
            <w:r>
              <w:rPr>
                <w:rFonts w:hint="eastAsia" w:ascii="宋体" w:hAnsi="宋体" w:eastAsia="宋体" w:cs="宋体"/>
                <w:color w:val="auto"/>
                <w:sz w:val="21"/>
                <w:szCs w:val="21"/>
                <w:lang w:val="en-US" w:eastAsia="zh-CN"/>
              </w:rPr>
              <w:t>需提供承诺函及证明材料</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没有不得分，</w:t>
            </w:r>
            <w:r>
              <w:rPr>
                <w:rFonts w:hint="eastAsia" w:ascii="宋体" w:hAnsi="宋体" w:eastAsia="宋体" w:cs="宋体"/>
                <w:color w:val="auto"/>
                <w:sz w:val="21"/>
                <w:szCs w:val="21"/>
              </w:rPr>
              <w:t>最高得分5分</w:t>
            </w:r>
            <w:r>
              <w:rPr>
                <w:rFonts w:hint="eastAsia" w:ascii="宋体" w:hAnsi="宋体" w:eastAsia="宋体" w:cs="宋体"/>
                <w:color w:val="auto"/>
                <w:sz w:val="21"/>
                <w:szCs w:val="21"/>
                <w:lang w:eastAsia="zh-CN"/>
              </w:rPr>
              <w:t>。</w:t>
            </w:r>
          </w:p>
          <w:p>
            <w:pPr>
              <w:widowControl w:val="0"/>
              <w:ind w:firstLine="0"/>
              <w:jc w:val="both"/>
              <w:rPr>
                <w:rFonts w:hint="default" w:ascii="宋体" w:hAnsi="宋体" w:cs="宋体"/>
                <w:color w:val="auto"/>
                <w:sz w:val="21"/>
                <w:szCs w:val="21"/>
                <w:vertAlign w:val="baseline"/>
                <w:lang w:val="en-US" w:eastAsia="zh-CN"/>
              </w:rPr>
            </w:pPr>
            <w:r>
              <w:rPr>
                <w:rFonts w:hint="eastAsia" w:ascii="宋体" w:hAnsi="宋体" w:eastAsia="宋体" w:cs="宋体"/>
                <w:b/>
                <w:bCs/>
                <w:color w:val="auto"/>
                <w:sz w:val="21"/>
                <w:szCs w:val="21"/>
              </w:rPr>
              <w:t>以上须提供人员配备名单、有效的证书复印件并加盖公章</w:t>
            </w:r>
            <w:r>
              <w:rPr>
                <w:rFonts w:hint="eastAsia" w:ascii="宋体" w:hAnsi="宋体"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pPr>
              <w:widowControl w:val="0"/>
              <w:ind w:left="0" w:leftChars="0" w:firstLine="0" w:firstLineChars="0"/>
              <w:jc w:val="left"/>
              <w:rPr>
                <w:rFonts w:hint="eastAsia"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项目理解</w:t>
            </w:r>
          </w:p>
          <w:p>
            <w:pPr>
              <w:pStyle w:val="2"/>
              <w:widowControl w:val="0"/>
              <w:ind w:left="0" w:leftChars="0" w:firstLine="0" w:firstLineChars="0"/>
              <w:jc w:val="left"/>
              <w:rPr>
                <w:rFonts w:hint="default"/>
                <w:b/>
                <w:bCs/>
                <w:lang w:val="en-US" w:eastAsia="zh-CN"/>
              </w:rPr>
            </w:pPr>
            <w:r>
              <w:rPr>
                <w:rFonts w:hint="eastAsia" w:ascii="宋体" w:hAnsi="宋体" w:cs="宋体"/>
                <w:b/>
                <w:bCs/>
                <w:color w:val="auto"/>
                <w:sz w:val="24"/>
                <w:szCs w:val="24"/>
                <w:vertAlign w:val="baseline"/>
                <w:lang w:val="en-US" w:eastAsia="zh-CN"/>
              </w:rPr>
              <w:t>（10分）</w:t>
            </w:r>
          </w:p>
        </w:tc>
        <w:tc>
          <w:tcPr>
            <w:tcW w:w="7771" w:type="dxa"/>
            <w:vAlign w:val="top"/>
          </w:tcPr>
          <w:p>
            <w:pPr>
              <w:widowControl w:val="0"/>
              <w:ind w:firstLine="0"/>
              <w:jc w:val="both"/>
              <w:rPr>
                <w:rFonts w:hint="default" w:ascii="宋体" w:hAnsi="宋体" w:cs="宋体"/>
                <w:color w:val="auto"/>
                <w:sz w:val="21"/>
                <w:szCs w:val="21"/>
                <w:vertAlign w:val="baseline"/>
                <w:lang w:val="en-US" w:eastAsia="zh-CN"/>
              </w:rPr>
            </w:pPr>
            <w:r>
              <w:rPr>
                <w:rFonts w:hint="eastAsia" w:ascii="宋体" w:hAnsi="宋体" w:eastAsia="宋体" w:cs="宋体"/>
                <w:color w:val="auto"/>
                <w:sz w:val="21"/>
                <w:szCs w:val="21"/>
              </w:rPr>
              <w:t>响应文件中书面阐述对以下内容的理解与分析：第一，对高校舆情监测特点及重点进行分析阐述，本项满分</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分。评审小组根据参选单位提供的书面材料进行评审，阐述完整、分析准确到位的得</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分，阐述不够完整或分析不够准确的得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分，阐述不完整且分析不准确得0分。第二，对舆情风险预警机制进行分析阐述，本项满分</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分。评审小组根据参选单位提供的书面材料进行评审，阐述完整、分析准确到位的得</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分，阐述不够完整或分析不够准确的得1分，阐述不完整且分析不准确得0分。第三，对舆情应急处置流程进行分析阐述，本项满分</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分。评审小组根据参选单位提供的书面材料进行评审，阐述完整、分析准确到位的得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分，阐述不够完整或分析不够准确的得1分，阐述不完整且分析不准确得0分。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pPr>
              <w:widowControl w:val="0"/>
              <w:ind w:left="0" w:leftChars="0" w:firstLine="0" w:firstLineChars="0"/>
              <w:jc w:val="both"/>
              <w:rPr>
                <w:rFonts w:hint="default"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实施方案（15分）</w:t>
            </w:r>
          </w:p>
        </w:tc>
        <w:tc>
          <w:tcPr>
            <w:tcW w:w="7771" w:type="dxa"/>
            <w:vAlign w:val="top"/>
          </w:tcPr>
          <w:p>
            <w:pPr>
              <w:widowControl w:val="0"/>
              <w:ind w:firstLine="0"/>
              <w:jc w:val="both"/>
              <w:rPr>
                <w:rFonts w:hint="default" w:ascii="宋体" w:hAnsi="宋体" w:cs="宋体"/>
                <w:color w:val="auto"/>
                <w:sz w:val="21"/>
                <w:szCs w:val="21"/>
                <w:vertAlign w:val="baseline"/>
                <w:lang w:val="en-US" w:eastAsia="zh-CN"/>
              </w:rPr>
            </w:pPr>
            <w:r>
              <w:rPr>
                <w:rFonts w:hint="eastAsia" w:ascii="宋体" w:hAnsi="宋体" w:eastAsia="宋体" w:cs="宋体"/>
                <w:color w:val="auto"/>
                <w:sz w:val="21"/>
                <w:szCs w:val="21"/>
              </w:rPr>
              <w:t>响应文件中提供完整的《舆情监测实施方案》，明确以下内容：第一，监测程序规范，方法科学，体现全网监测、实时预警理念，本项满分</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分。方案中对相关内容进行明确阐述并提出具体措施的得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分，内容缺失或表述不清晰的得1分。第二，能够运用信息化监测手段，如舆情监测系统、大数据分析工具等，本项满分</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分。方案中对相关内容进行明确阐述并提出具体措施的得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分，内容缺失或表述不清晰的得1分。第三，时间安排合理，具有可操作的监测排期计划，本项满分</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分。方案中对相关内容进行明确阐述并提出具体措施的得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分，内容缺失或表述不清晰的得1分。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pPr>
              <w:widowControl w:val="0"/>
              <w:ind w:left="0" w:leftChars="0" w:firstLine="0" w:firstLineChars="0"/>
              <w:jc w:val="both"/>
              <w:rPr>
                <w:rFonts w:hint="default"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个性化建议方案（5分）</w:t>
            </w:r>
          </w:p>
        </w:tc>
        <w:tc>
          <w:tcPr>
            <w:tcW w:w="7771" w:type="dxa"/>
            <w:vAlign w:val="top"/>
          </w:tcPr>
          <w:p>
            <w:pPr>
              <w:widowControl w:val="0"/>
              <w:ind w:firstLine="0"/>
              <w:jc w:val="both"/>
              <w:rPr>
                <w:rFonts w:hint="default" w:ascii="宋体" w:hAnsi="宋体" w:cs="宋体"/>
                <w:color w:val="auto"/>
                <w:sz w:val="21"/>
                <w:szCs w:val="21"/>
                <w:vertAlign w:val="baseline"/>
                <w:lang w:val="en-US" w:eastAsia="zh-CN"/>
              </w:rPr>
            </w:pPr>
            <w:r>
              <w:rPr>
                <w:rFonts w:hint="eastAsia" w:ascii="宋体" w:hAnsi="宋体" w:eastAsia="宋体" w:cs="宋体"/>
                <w:color w:val="auto"/>
                <w:sz w:val="21"/>
                <w:szCs w:val="21"/>
              </w:rPr>
              <w:t>结合学院的特点，提出针对性监测建议：第一，结合职业院校行业特点，提出针对性的舆情监测关注点，如招生就业、教学质量、校园安全等方面，本项满分</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分。建议具有针对性、切实可行的得</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分，建议空泛或与本项目无关的得0分。第二，提出对学院舆情管理工作的改进建议或风险提示，本项满分</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分。建议具有针对性、切实可行的得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分，建议空泛或与本项目无关的得0分。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pPr>
              <w:widowControl w:val="0"/>
              <w:ind w:left="0" w:leftChars="0" w:firstLine="0" w:firstLineChars="0"/>
              <w:jc w:val="both"/>
              <w:rPr>
                <w:rFonts w:hint="default"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服务承诺（23分）</w:t>
            </w:r>
          </w:p>
        </w:tc>
        <w:tc>
          <w:tcPr>
            <w:tcW w:w="7771" w:type="dxa"/>
            <w:vAlign w:val="top"/>
          </w:tcPr>
          <w:p>
            <w:pPr>
              <w:widowControl w:val="0"/>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承诺按时完成舆情监测任务，确保监测覆盖率和及时性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得4分；</w:t>
            </w:r>
            <w:r>
              <w:rPr>
                <w:rFonts w:hint="eastAsia" w:ascii="宋体" w:hAnsi="宋体" w:eastAsia="宋体" w:cs="宋体"/>
                <w:color w:val="auto"/>
                <w:sz w:val="21"/>
                <w:szCs w:val="21"/>
              </w:rPr>
              <w:t>承诺保守秘密、严格信息安全管理，不泄露学院任何敏感信息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得4分；</w:t>
            </w:r>
            <w:r>
              <w:rPr>
                <w:rFonts w:hint="eastAsia" w:ascii="宋体" w:hAnsi="宋体" w:eastAsia="宋体" w:cs="宋体"/>
                <w:color w:val="auto"/>
                <w:sz w:val="21"/>
                <w:szCs w:val="21"/>
              </w:rPr>
              <w:t>承诺提供舆情分析报告及后续咨询服务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得4分；</w:t>
            </w:r>
            <w:r>
              <w:rPr>
                <w:rFonts w:hint="eastAsia" w:ascii="宋体" w:hAnsi="宋体" w:eastAsia="宋体" w:cs="宋体"/>
                <w:color w:val="auto"/>
                <w:sz w:val="21"/>
                <w:szCs w:val="21"/>
              </w:rPr>
              <w:t>承诺在监测过程中保持沟通顺畅，指定专人对接，重大舆情响应时间不超过2小时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得3分；</w:t>
            </w:r>
            <w:r>
              <w:rPr>
                <w:rFonts w:hint="eastAsia" w:ascii="宋体" w:hAnsi="宋体" w:eastAsia="宋体" w:cs="宋体"/>
                <w:color w:val="auto"/>
                <w:sz w:val="21"/>
                <w:szCs w:val="21"/>
              </w:rPr>
              <w:t>承诺配合采购人应对突发舆情事件，提供应急处置支持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得5分；</w:t>
            </w:r>
            <w:r>
              <w:rPr>
                <w:rFonts w:hint="eastAsia" w:ascii="宋体" w:hAnsi="宋体" w:eastAsia="宋体" w:cs="宋体"/>
                <w:color w:val="auto"/>
                <w:sz w:val="21"/>
                <w:szCs w:val="21"/>
              </w:rPr>
              <w:t>承诺监测数据及报告留存备查不少于</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年，便于追溯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得3分；</w:t>
            </w:r>
          </w:p>
          <w:p>
            <w:pPr>
              <w:widowControl w:val="0"/>
              <w:ind w:left="0" w:leftChars="0" w:firstLine="0" w:firstLineChars="0"/>
              <w:jc w:val="both"/>
              <w:rPr>
                <w:rFonts w:hint="default"/>
                <w:sz w:val="21"/>
                <w:szCs w:val="21"/>
                <w:lang w:val="en-US" w:eastAsia="zh-CN"/>
              </w:rPr>
            </w:pPr>
            <w:r>
              <w:rPr>
                <w:rFonts w:hint="eastAsia" w:ascii="宋体" w:hAnsi="宋体" w:eastAsia="宋体" w:cs="宋体"/>
                <w:b/>
                <w:bCs/>
                <w:color w:val="auto"/>
                <w:sz w:val="21"/>
                <w:szCs w:val="21"/>
              </w:rPr>
              <w:t>以上承诺需在响应文件中单独出具承诺函并加盖公章，否则相应分值不得分。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pPr>
              <w:widowControl w:val="0"/>
              <w:ind w:left="0" w:leftChars="0" w:firstLine="0" w:firstLineChars="0"/>
              <w:jc w:val="both"/>
              <w:rPr>
                <w:rFonts w:hint="default"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其他（6分）</w:t>
            </w:r>
          </w:p>
        </w:tc>
        <w:tc>
          <w:tcPr>
            <w:tcW w:w="7771" w:type="dxa"/>
            <w:vAlign w:val="top"/>
          </w:tcPr>
          <w:p>
            <w:pPr>
              <w:widowControl w:val="0"/>
              <w:ind w:left="0" w:leftChars="0" w:firstLine="0" w:firstLineChars="0"/>
              <w:jc w:val="both"/>
              <w:rPr>
                <w:rFonts w:hint="eastAsia" w:ascii="宋体" w:hAnsi="宋体" w:eastAsia="宋体" w:cs="宋体"/>
                <w:b/>
                <w:bCs/>
                <w:color w:val="auto"/>
                <w:sz w:val="21"/>
                <w:szCs w:val="21"/>
              </w:rPr>
            </w:pPr>
            <w:r>
              <w:rPr>
                <w:rFonts w:hint="eastAsia"/>
                <w:vertAlign w:val="baseline"/>
                <w:lang w:val="en-US" w:eastAsia="zh-CN"/>
              </w:rPr>
              <w:t>针对学校突发舆情事件时，必要时要协助学校进行精准处置并得到学校的认可，在处置3次以内（包含3次）的基础上，不得额外增加费用，每承诺增加处置1次得2分，最高得6分。</w:t>
            </w:r>
          </w:p>
        </w:tc>
      </w:tr>
    </w:tbl>
    <w:p>
      <w:pPr>
        <w:pStyle w:val="3"/>
        <w:pageBreakBefore w:val="0"/>
        <w:widowControl/>
        <w:kinsoku/>
        <w:wordWrap/>
        <w:overflowPunct/>
        <w:topLinePunct w:val="0"/>
        <w:autoSpaceDE/>
        <w:autoSpaceDN/>
        <w:bidi w:val="0"/>
        <w:adjustRightInd/>
        <w:snapToGrid/>
        <w:ind w:firstLine="562" w:firstLineChars="200"/>
        <w:textAlignment w:val="auto"/>
        <w:rPr>
          <w:rFonts w:hint="eastAsia" w:ascii="宋体" w:hAnsi="宋体" w:eastAsia="宋体" w:cs="宋体"/>
          <w:color w:val="auto"/>
        </w:rPr>
      </w:pPr>
      <w:r>
        <w:rPr>
          <w:rFonts w:hint="eastAsia" w:ascii="宋体" w:hAnsi="宋体" w:eastAsia="宋体" w:cs="宋体"/>
          <w:color w:val="auto"/>
        </w:rPr>
        <w:t>三、参选单位资格要求</w:t>
      </w:r>
    </w:p>
    <w:p>
      <w:pPr>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1.提供在中华人民共和国境内注册的法人或其他组织的营业执照；</w:t>
      </w:r>
    </w:p>
    <w:p>
      <w:pPr>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2.法人授权委托书、法人及被授权人身份证复印件（法定代表人直接投标可不提供，但须提供法定代表人身份证复印件）；</w:t>
      </w:r>
    </w:p>
    <w:p>
      <w:pPr>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3.提供具有良好商业信誉和健全的财务会计制度的承诺函；</w:t>
      </w:r>
    </w:p>
    <w:p>
      <w:pPr>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4.提供履行合同所必需的设备和专业技术能力的</w:t>
      </w:r>
      <w:r>
        <w:rPr>
          <w:rFonts w:hint="eastAsia" w:ascii="宋体" w:hAnsi="宋体" w:cs="宋体"/>
          <w:color w:val="auto"/>
          <w:lang w:val="en-US" w:eastAsia="zh-CN"/>
        </w:rPr>
        <w:t>承诺函</w:t>
      </w:r>
      <w:r>
        <w:rPr>
          <w:rFonts w:hint="eastAsia" w:ascii="宋体" w:hAnsi="宋体" w:eastAsia="宋体" w:cs="宋体"/>
          <w:color w:val="auto"/>
        </w:rPr>
        <w:t>；</w:t>
      </w:r>
    </w:p>
    <w:p>
      <w:pPr>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5.具有依法缴纳税收和社会保障资金的良好记录的承诺函；</w:t>
      </w:r>
    </w:p>
    <w:p>
      <w:pPr>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6.提供参加采购活动前三年内在经营活动中没有重大违法记录的书面声明（提供《资格承诺函》）。</w:t>
      </w:r>
    </w:p>
    <w:p>
      <w:pPr>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7.供应商在中国政府采购网（www.ccgp.gov.cn）未被列入政府采购严重违法失信行为记录名单，在"信用中国"网站（www.creditchina.gov.cn）未被列入失信被执行人、重大税收违法案件当事人名单。</w:t>
      </w:r>
    </w:p>
    <w:p>
      <w:pPr>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8.投标人须具有舆情监测或</w:t>
      </w:r>
      <w:r>
        <w:rPr>
          <w:rFonts w:hint="eastAsia" w:ascii="宋体" w:hAnsi="宋体" w:cs="宋体"/>
          <w:color w:val="auto"/>
          <w:lang w:val="en-US" w:eastAsia="zh-CN"/>
        </w:rPr>
        <w:t>互联网</w:t>
      </w:r>
      <w:r>
        <w:rPr>
          <w:rFonts w:hint="eastAsia" w:ascii="宋体" w:hAnsi="宋体" w:eastAsia="宋体" w:cs="宋体"/>
          <w:color w:val="auto"/>
        </w:rPr>
        <w:t>信息服务相关经营范围。</w:t>
      </w:r>
    </w:p>
    <w:p>
      <w:pPr>
        <w:pStyle w:val="3"/>
        <w:pageBreakBefore w:val="0"/>
        <w:widowControl/>
        <w:kinsoku/>
        <w:wordWrap/>
        <w:overflowPunct/>
        <w:topLinePunct w:val="0"/>
        <w:autoSpaceDE/>
        <w:autoSpaceDN/>
        <w:bidi w:val="0"/>
        <w:adjustRightInd/>
        <w:snapToGrid/>
        <w:ind w:firstLine="562"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四</w:t>
      </w:r>
      <w:r>
        <w:rPr>
          <w:rFonts w:hint="eastAsia" w:ascii="宋体" w:hAnsi="宋体" w:eastAsia="宋体" w:cs="宋体"/>
          <w:color w:val="auto"/>
        </w:rPr>
        <w:t>、参选单位须提交以下材料（需加盖公章）</w:t>
      </w:r>
    </w:p>
    <w:p>
      <w:pPr>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1.报价函（格式自拟，一次性报出含税总价）；</w:t>
      </w:r>
    </w:p>
    <w:p>
      <w:pPr>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2.资格证明文件（按第三条要求提供，附证明材料）；</w:t>
      </w:r>
    </w:p>
    <w:p>
      <w:pPr>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3.项目实施方案：包括舆情监测工作流程、时间安排、人员配备名单、质量保障措施等；</w:t>
      </w:r>
    </w:p>
    <w:p>
      <w:pPr>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4.团队人员资格证书：拟派人员的舆情分析师证书、职称证书等复印件加盖公章；</w:t>
      </w:r>
    </w:p>
    <w:p>
      <w:pPr>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5.服务承诺书。</w:t>
      </w:r>
    </w:p>
    <w:p>
      <w:pPr>
        <w:pStyle w:val="3"/>
        <w:pageBreakBefore w:val="0"/>
        <w:widowControl/>
        <w:kinsoku/>
        <w:wordWrap/>
        <w:overflowPunct/>
        <w:topLinePunct w:val="0"/>
        <w:autoSpaceDE/>
        <w:autoSpaceDN/>
        <w:bidi w:val="0"/>
        <w:adjustRightInd/>
        <w:snapToGrid/>
        <w:ind w:firstLine="562"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五</w:t>
      </w:r>
      <w:r>
        <w:rPr>
          <w:rFonts w:hint="eastAsia" w:ascii="宋体" w:hAnsi="宋体" w:eastAsia="宋体" w:cs="宋体"/>
          <w:color w:val="auto"/>
        </w:rPr>
        <w:t>、其他说明</w:t>
      </w:r>
    </w:p>
    <w:p>
      <w:pPr>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1.参选单位应对所提交材料的真实性负责，如有虚假，取消参选资格；</w:t>
      </w:r>
    </w:p>
    <w:p>
      <w:pPr>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2.本方案解释权归宁夏葡萄酒与防沙治沙职业技术学院</w:t>
      </w:r>
      <w:r>
        <w:rPr>
          <w:rFonts w:hint="eastAsia" w:ascii="宋体" w:hAnsi="宋体" w:cs="宋体"/>
          <w:color w:val="auto"/>
          <w:lang w:val="en-US" w:eastAsia="zh-CN"/>
        </w:rPr>
        <w:t>党政办公室</w:t>
      </w:r>
      <w:r>
        <w:rPr>
          <w:rFonts w:hint="eastAsia" w:ascii="宋体" w:hAnsi="宋体" w:eastAsia="宋体" w:cs="宋体"/>
          <w:color w:val="auto"/>
        </w:rPr>
        <w:t>所有。</w:t>
      </w:r>
    </w:p>
    <w:sectPr>
      <w:footerReference r:id="rId5" w:type="default"/>
      <w:pgSz w:w="11906" w:h="16838"/>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Calibri" w:hAnsi="Calibri" w:eastAsia="宋体"/>
        <w:color w:val="7F8C8D"/>
        <w:sz w:val="18"/>
      </w:rPr>
      <w:t xml:space="preserve">第 </w:t>
    </w:r>
    <w:r>
      <w:fldChar w:fldCharType="begin"/>
    </w:r>
    <w:r>
      <w:instrText xml:space="preserve"> PAGE </w:instrText>
    </w:r>
    <w:r>
      <w:fldChar w:fldCharType="separate"/>
    </w:r>
    <w:r>
      <w:t>1</w:t>
    </w:r>
    <w:r>
      <w:fldChar w:fldCharType="end"/>
    </w:r>
    <w:r>
      <w:rPr>
        <w:rFonts w:ascii="Calibri" w:hAnsi="Calibri" w:eastAsia="宋体"/>
        <w:color w:val="7F8C8D"/>
        <w:sz w:val="18"/>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C17A3"/>
    <w:rsid w:val="157F6950"/>
    <w:rsid w:val="1D974CED"/>
    <w:rsid w:val="1E822FA1"/>
    <w:rsid w:val="278670ED"/>
    <w:rsid w:val="2BFE1512"/>
    <w:rsid w:val="318C0376"/>
    <w:rsid w:val="3354036D"/>
    <w:rsid w:val="53FC4EE5"/>
    <w:rsid w:val="54A15E2D"/>
    <w:rsid w:val="5503564E"/>
    <w:rsid w:val="61344A23"/>
    <w:rsid w:val="67E97CA3"/>
    <w:rsid w:val="6C835F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20" w:line="360" w:lineRule="auto"/>
      <w:ind w:firstLine="480"/>
    </w:pPr>
    <w:rPr>
      <w:rFonts w:ascii="Calibri" w:hAnsi="Calibri" w:eastAsia="宋体" w:cstheme="minorBidi"/>
      <w:color w:val="1A252F"/>
      <w:sz w:val="24"/>
      <w:szCs w:val="22"/>
    </w:rPr>
  </w:style>
  <w:style w:type="paragraph" w:styleId="3">
    <w:name w:val="heading 1"/>
    <w:basedOn w:val="1"/>
    <w:next w:val="1"/>
    <w:qFormat/>
    <w:uiPriority w:val="0"/>
    <w:pPr>
      <w:keepNext/>
      <w:keepLines/>
      <w:spacing w:before="400" w:after="200"/>
      <w:ind w:firstLine="0"/>
      <w:outlineLvl w:val="0"/>
    </w:pPr>
    <w:rPr>
      <w:rFonts w:ascii="Calibri" w:hAnsi="Calibri" w:eastAsia="黑体"/>
      <w:b/>
      <w:color w:val="2C3E50"/>
      <w:sz w:val="28"/>
    </w:rPr>
  </w:style>
  <w:style w:type="paragraph" w:styleId="4">
    <w:name w:val="heading 2"/>
    <w:basedOn w:val="1"/>
    <w:next w:val="1"/>
    <w:qFormat/>
    <w:uiPriority w:val="0"/>
    <w:pPr>
      <w:keepNext/>
      <w:keepLines/>
      <w:spacing w:before="280" w:after="120"/>
      <w:ind w:firstLine="0"/>
      <w:outlineLvl w:val="1"/>
    </w:pPr>
    <w:rPr>
      <w:rFonts w:ascii="Calibri" w:hAnsi="Calibri" w:eastAsia="黑体"/>
      <w:b/>
      <w:color w:val="34495E"/>
      <w:sz w:val="24"/>
    </w:rPr>
  </w:style>
  <w:style w:type="paragraph" w:styleId="5">
    <w:name w:val="heading 3"/>
    <w:basedOn w:val="1"/>
    <w:next w:val="1"/>
    <w:qFormat/>
    <w:uiPriority w:val="0"/>
    <w:pPr>
      <w:keepNext/>
      <w:keepLines/>
      <w:spacing w:before="200" w:after="80"/>
      <w:ind w:firstLine="0"/>
      <w:outlineLvl w:val="2"/>
    </w:pPr>
    <w:rPr>
      <w:rFonts w:ascii="Calibri" w:hAnsi="Calibri" w:eastAsia="黑体"/>
      <w:b/>
      <w:color w:val="1A252F"/>
      <w:sz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楷体" w:hAnsi="楷体" w:eastAsia="楷体" w:cs="楷体"/>
      <w:sz w:val="28"/>
      <w:szCs w:val="28"/>
      <w:lang w:val="en-US" w:eastAsia="en-US" w:bidi="ar-SA"/>
    </w:rPr>
  </w:style>
  <w:style w:type="table" w:customStyle="1" w:styleId="10">
    <w:name w:val="Table Normal"/>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642</Words>
  <Characters>656</Characters>
  <TotalTime>4</TotalTime>
  <ScaleCrop>false</ScaleCrop>
  <LinksUpToDate>false</LinksUpToDate>
  <CharactersWithSpaces>656</CharactersWithSpaces>
  <Application>WPS Office_11.8.2.10393_F1E327BC-269C-435d-A152-05C5408002CA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2026-06-11T15:41:00Z</dcterms:created>
  <dc:creator>Laptop</dc:creator>
  <cp:lastModifiedBy>王雅楠</cp:lastModifiedBy>
  <dcterms:modified xsi:type="dcterms:W3CDTF">2026-06-24T08:41:53Z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eyJoZGlkIjoiMWJmYmVhMGQ2YWQwOTc0ZDFkYmVkZTE0NzFkNThlYzIiLCJ1c2VySWQiOiIzNzU2NjcyMTUifQ==</vt:lpwstr>
  </property>
  <property fmtid="{D5CDD505-2E9C-101B-9397-08002B2CF9AE}" pid="3" name="KSOProductBuildVer">
    <vt:lpwstr>2052-11.8.2.10393</vt:lpwstr>
  </property>
  <property fmtid="{D5CDD505-2E9C-101B-9397-08002B2CF9AE}" pid="4" name="ICV">
    <vt:lpwstr>D31DD75300A840B1982F4E2F10280AF7_13</vt:lpwstr>
  </property>
</Properties>
</file>