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880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宁夏葡萄酒与防沙治沙职业技术学院</w:t>
      </w:r>
    </w:p>
    <w:p w14:paraId="75179B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体育运动设备更新项目询价方案</w:t>
      </w:r>
    </w:p>
    <w:p w14:paraId="643A36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b w:val="0"/>
          <w:bCs w:val="0"/>
          <w:sz w:val="32"/>
          <w:szCs w:val="32"/>
          <w:lang w:eastAsia="zh-CN"/>
        </w:rPr>
      </w:pPr>
    </w:p>
    <w:p w14:paraId="6EB3A23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、项目概况</w:t>
      </w:r>
    </w:p>
    <w:p w14:paraId="776340A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（一）项目名称</w:t>
      </w:r>
    </w:p>
    <w:p w14:paraId="4722669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宁夏葡萄酒与防沙治沙职业技术学院体育运动设备更新项目</w:t>
      </w:r>
    </w:p>
    <w:p w14:paraId="42E0643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lang w:eastAsia="zh-CN"/>
        </w:rPr>
        <w:t>（二）</w:t>
      </w:r>
      <w:r>
        <w:rPr>
          <w:rFonts w:hint="eastAsia" w:ascii="方正楷体_GBK" w:hAnsi="方正楷体_GBK" w:eastAsia="方正楷体_GBK" w:cs="方正楷体_GBK"/>
          <w:b w:val="0"/>
          <w:bCs w:val="0"/>
          <w:sz w:val="32"/>
          <w:szCs w:val="32"/>
        </w:rPr>
        <w:t>项目预算</w:t>
      </w:r>
    </w:p>
    <w:p w14:paraId="7BB7875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项目预算金额（含税）人民币</w:t>
      </w:r>
      <w:r>
        <w:rPr>
          <w:rStyle w:val="8"/>
          <w:rFonts w:hint="default" w:ascii="Times New Roman" w:hAnsi="Times New Roman" w:eastAsia="方正仿宋_GBK" w:cs="Times New Roman"/>
          <w:b w:val="0"/>
          <w:bCs/>
          <w:kern w:val="0"/>
          <w:sz w:val="32"/>
          <w:szCs w:val="32"/>
          <w:lang w:val="en-US" w:eastAsia="zh-CN" w:bidi="ar"/>
        </w:rPr>
        <w:t>189700</w:t>
      </w:r>
      <w:r>
        <w:rPr>
          <w:rStyle w:val="8"/>
          <w:rFonts w:hint="eastAsia" w:ascii="方正仿宋_GBK" w:hAnsi="方正仿宋_GBK" w:eastAsia="方正仿宋_GBK" w:cs="方正仿宋_GBK"/>
          <w:b w:val="0"/>
          <w:bCs/>
          <w:kern w:val="0"/>
          <w:sz w:val="32"/>
          <w:szCs w:val="32"/>
          <w:lang w:val="en-US" w:eastAsia="zh-CN" w:bidi="ar"/>
        </w:rPr>
        <w:t>元。</w:t>
      </w:r>
      <w:r>
        <w:rPr>
          <w:rFonts w:hint="eastAsia" w:ascii="方正仿宋_GBK" w:hAnsi="方正仿宋_GBK" w:eastAsia="方正仿宋_GBK" w:cs="方正仿宋_GBK"/>
          <w:kern w:val="0"/>
          <w:sz w:val="32"/>
          <w:szCs w:val="32"/>
          <w:lang w:val="en-US" w:eastAsia="zh-CN" w:bidi="ar"/>
        </w:rPr>
        <w:t>（报价不得超过预算金额，超过预算金额为不合格报价）</w:t>
      </w:r>
    </w:p>
    <w:p w14:paraId="1A83577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（三）采购范围及内容</w:t>
      </w:r>
    </w:p>
    <w:p w14:paraId="7C0EA423">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本次采购范围包含老旧体育器材拆除清运、全新球类设备采购、安装调试及单双杠区域场地安全改造，具体采购需求及评分标准（</w:t>
      </w:r>
      <w:r>
        <w:rPr>
          <w:rFonts w:hint="default" w:ascii="Times New Roman" w:hAnsi="Times New Roman" w:eastAsia="方正仿宋_GBK" w:cs="Times New Roman"/>
          <w:kern w:val="0"/>
          <w:sz w:val="32"/>
          <w:szCs w:val="32"/>
          <w:lang w:val="en-US" w:eastAsia="zh-CN" w:bidi="ar"/>
        </w:rPr>
        <w:t>见附件2）</w:t>
      </w:r>
      <w:r>
        <w:rPr>
          <w:rFonts w:hint="eastAsia" w:ascii="方正仿宋_GBK" w:hAnsi="方正仿宋_GBK" w:eastAsia="方正仿宋_GBK" w:cs="方正仿宋_GBK"/>
          <w:kern w:val="0"/>
          <w:sz w:val="32"/>
          <w:szCs w:val="32"/>
          <w:lang w:val="en-US" w:eastAsia="zh-CN" w:bidi="ar"/>
        </w:rPr>
        <w:t>。</w:t>
      </w:r>
    </w:p>
    <w:p w14:paraId="4DD21C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、质量标准要求</w:t>
      </w:r>
    </w:p>
    <w:p w14:paraId="5B22B5F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所有采购设备必须为全新正品、未使用过的合格产品，符合国家体育器材行业标准、校园体育设施建设规范，满足户外长期使用需求，具备耐磨、防锈、抗老化、稳定性强等特点，无质量瑕疵、安全隐患。设备安装规范牢固，调节功能顺畅，整体结构稳定，适配校园教学、训练、赛事常态化使用。所有施工及设备安装流程符合安全施工规范，完工后场地整洁、设施达标。</w:t>
      </w:r>
    </w:p>
    <w:p w14:paraId="3511AA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三、采购</w:t>
      </w:r>
      <w:r>
        <w:rPr>
          <w:rFonts w:hint="eastAsia" w:ascii="黑体" w:hAnsi="黑体" w:eastAsia="黑体" w:cs="黑体"/>
          <w:b w:val="0"/>
          <w:bCs w:val="0"/>
          <w:sz w:val="32"/>
          <w:szCs w:val="32"/>
        </w:rPr>
        <w:t>方式及供应商资格要求</w:t>
      </w:r>
    </w:p>
    <w:p w14:paraId="4265ED5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（一）采购方式</w:t>
      </w:r>
    </w:p>
    <w:p w14:paraId="2E6E143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kern w:val="0"/>
          <w:sz w:val="32"/>
          <w:szCs w:val="32"/>
          <w:lang w:val="en-US" w:eastAsia="zh-CN" w:bidi="ar"/>
        </w:rPr>
        <w:t>本项目采用</w:t>
      </w:r>
      <w:r>
        <w:rPr>
          <w:rStyle w:val="8"/>
          <w:rFonts w:hint="eastAsia" w:ascii="方正仿宋_GBK" w:hAnsi="方正仿宋_GBK" w:eastAsia="方正仿宋_GBK" w:cs="方正仿宋_GBK"/>
          <w:b w:val="0"/>
          <w:bCs w:val="0"/>
          <w:kern w:val="0"/>
          <w:sz w:val="32"/>
          <w:szCs w:val="32"/>
          <w:lang w:val="en-US" w:eastAsia="zh-CN" w:bidi="ar"/>
        </w:rPr>
        <w:t>公开询价采购</w:t>
      </w:r>
      <w:r>
        <w:rPr>
          <w:rFonts w:hint="eastAsia" w:ascii="方正仿宋_GBK" w:hAnsi="方正仿宋_GBK" w:eastAsia="方正仿宋_GBK" w:cs="方正仿宋_GBK"/>
          <w:b w:val="0"/>
          <w:bCs w:val="0"/>
          <w:kern w:val="0"/>
          <w:sz w:val="32"/>
          <w:szCs w:val="32"/>
          <w:lang w:val="en-US" w:eastAsia="zh-CN" w:bidi="ar"/>
        </w:rPr>
        <w:t>方式，本着公开、公平、公正、择优、节约的原则，面向符合资质条件的供应商公开询价，综合比对报价、资质、服务、售后等因素确定成交供应商。</w:t>
      </w:r>
    </w:p>
    <w:p w14:paraId="5BBC58C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（二）供应商资格条件</w:t>
      </w:r>
    </w:p>
    <w:p w14:paraId="6C75D3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kern w:val="0"/>
          <w:sz w:val="32"/>
          <w:szCs w:val="32"/>
          <w:lang w:val="en-US" w:eastAsia="zh-CN" w:bidi="ar"/>
        </w:rPr>
        <w:t>1.须具有独立法人资格，具备有效的营业执照，经营范围包含体育器材销售等</w:t>
      </w:r>
      <w:r>
        <w:rPr>
          <w:rFonts w:hint="default" w:ascii="Times New Roman" w:hAnsi="Times New Roman" w:eastAsia="方正仿宋_GBK" w:cs="Times New Roman"/>
          <w:b w:val="0"/>
          <w:bCs w:val="0"/>
          <w:sz w:val="32"/>
          <w:szCs w:val="32"/>
        </w:rPr>
        <w:t>（提供营业执照或法人证书复印件加盖公章）</w:t>
      </w:r>
      <w:r>
        <w:rPr>
          <w:rFonts w:hint="default" w:ascii="Times New Roman" w:hAnsi="Times New Roman" w:eastAsia="方正仿宋_GBK" w:cs="Times New Roman"/>
          <w:b w:val="0"/>
          <w:bCs w:val="0"/>
          <w:sz w:val="32"/>
          <w:szCs w:val="32"/>
          <w:lang w:eastAsia="zh-CN"/>
        </w:rPr>
        <w:t>。</w:t>
      </w:r>
    </w:p>
    <w:p w14:paraId="7AF4E4E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val="en-US" w:eastAsia="zh-CN" w:bidi="ar"/>
        </w:rPr>
        <w:t>2.具备体育器材采购、安装及场地改造相关服务能力，有校园体育设施建设相关项目实施经验者优先。</w:t>
      </w:r>
    </w:p>
    <w:p w14:paraId="1A24317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val="en-US" w:eastAsia="zh-CN" w:bidi="ar"/>
        </w:rPr>
        <w:t>3.具备完善的售后服务体系，能够提供设备安装、调试、质保、维修等全套服务，可快速响应校方售后需求。</w:t>
      </w:r>
    </w:p>
    <w:p w14:paraId="2252EF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val="en-US" w:eastAsia="zh-CN" w:bidi="ar"/>
        </w:rPr>
        <w:t>4.</w:t>
      </w:r>
      <w:r>
        <w:rPr>
          <w:rFonts w:hint="default" w:ascii="Times New Roman" w:hAnsi="Times New Roman" w:eastAsia="方正仿宋_GBK" w:cs="Times New Roman"/>
          <w:sz w:val="32"/>
          <w:szCs w:val="32"/>
        </w:rPr>
        <w:t>供应商在中国政府采购网（www.ccgp.gov.cn）未被列入政府采购严重违法失信行为记录名单，在“信用中国”网站（www.creditchina.gov.cn）未被列入失信被执行人、重大税收违法案件当事人名单。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查询页面截图加盖公章）。</w:t>
      </w:r>
    </w:p>
    <w:p w14:paraId="4FDE08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pP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5</w:t>
      </w:r>
      <w:r>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t>.</w:t>
      </w: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具有良好的商业信誉和健全的财务会计制度承诺书或提供相应证明材料</w:t>
      </w:r>
      <w:r>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t>。</w:t>
      </w:r>
    </w:p>
    <w:p w14:paraId="5E0AEF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pP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6</w:t>
      </w:r>
      <w:r>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t>.</w:t>
      </w: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依法缴纳社会保障资金和税收的承诺书或提供相应证明材料</w:t>
      </w:r>
      <w:r>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t>。</w:t>
      </w:r>
    </w:p>
    <w:p w14:paraId="5969EC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pP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7</w:t>
      </w:r>
      <w:r>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t>.</w:t>
      </w: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具有履行合同所必需的设备和专业技术能力的承诺函或提供相应证明材料</w:t>
      </w:r>
      <w:r>
        <w:rPr>
          <w:rStyle w:val="8"/>
          <w:rFonts w:hint="eastAsia" w:ascii="Times New Roman" w:hAnsi="Times New Roman" w:eastAsia="方正仿宋_GBK" w:cs="Times New Roman"/>
          <w:b w:val="0"/>
          <w:bCs/>
          <w:color w:val="auto"/>
          <w:kern w:val="0"/>
          <w:sz w:val="32"/>
          <w:szCs w:val="32"/>
          <w:highlight w:val="none"/>
          <w:shd w:val="clear" w:color="auto" w:fill="FFFFFF"/>
          <w:lang w:val="en-US" w:eastAsia="zh-CN" w:bidi="ar-SA"/>
        </w:rPr>
        <w:t>。</w:t>
      </w:r>
    </w:p>
    <w:p w14:paraId="4528DB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000000"/>
          <w:sz w:val="32"/>
          <w:szCs w:val="32"/>
          <w:highlight w:val="none"/>
          <w:lang w:eastAsia="zh-CN"/>
        </w:rPr>
      </w:pPr>
      <w:r>
        <w:rPr>
          <w:rFonts w:hint="default" w:ascii="Times New Roman" w:hAnsi="Times New Roman" w:eastAsia="方正仿宋_GBK" w:cs="Times New Roman"/>
          <w:sz w:val="32"/>
          <w:szCs w:val="32"/>
          <w:lang w:val="en-US" w:eastAsia="zh-CN"/>
        </w:rPr>
        <w:t>8.</w:t>
      </w:r>
      <w:r>
        <w:rPr>
          <w:rStyle w:val="8"/>
          <w:rFonts w:hint="default" w:ascii="Times New Roman" w:hAnsi="Times New Roman" w:eastAsia="方正仿宋_GBK" w:cs="Times New Roman"/>
          <w:b w:val="0"/>
          <w:bCs/>
          <w:color w:val="auto"/>
          <w:kern w:val="0"/>
          <w:sz w:val="32"/>
          <w:szCs w:val="32"/>
          <w:highlight w:val="none"/>
          <w:shd w:val="clear" w:color="auto" w:fill="FFFFFF"/>
          <w:lang w:val="en-US" w:eastAsia="zh-CN" w:bidi="ar-SA"/>
        </w:rPr>
        <w:t>参加采购活动前3年内在经营活动中没有重大违法记录的承诺书或提供相应证明材料</w:t>
      </w:r>
      <w:r>
        <w:rPr>
          <w:rFonts w:hint="default" w:ascii="Times New Roman" w:hAnsi="Times New Roman" w:eastAsia="方正仿宋_GBK" w:cs="Times New Roman"/>
          <w:b w:val="0"/>
          <w:bCs w:val="0"/>
          <w:color w:val="000000"/>
          <w:sz w:val="32"/>
          <w:szCs w:val="32"/>
          <w:highlight w:val="none"/>
          <w:lang w:eastAsia="zh-CN"/>
        </w:rPr>
        <w:t>。</w:t>
      </w:r>
    </w:p>
    <w:p w14:paraId="31DBA8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响应文件组成</w:t>
      </w:r>
    </w:p>
    <w:p w14:paraId="4530C1C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eastAsia="zh-CN"/>
        </w:rPr>
        <w:t>（一）报价函</w:t>
      </w:r>
      <w:r>
        <w:rPr>
          <w:rFonts w:hint="eastAsia" w:ascii="方正楷体_GBK" w:hAnsi="方正楷体_GBK" w:eastAsia="方正楷体_GBK" w:cs="方正楷体_GBK"/>
          <w:b w:val="0"/>
          <w:bCs w:val="0"/>
          <w:sz w:val="32"/>
          <w:szCs w:val="32"/>
          <w:lang w:val="en-US" w:eastAsia="zh-CN"/>
        </w:rPr>
        <w:t>（按附件1报价，一次性报出含税总价）</w:t>
      </w:r>
    </w:p>
    <w:p w14:paraId="4F7453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（二）资格证明文件</w:t>
      </w:r>
    </w:p>
    <w:p w14:paraId="36751AB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（三）技术</w:t>
      </w:r>
      <w:r>
        <w:rPr>
          <w:rFonts w:hint="eastAsia" w:ascii="方正楷体_GBK" w:hAnsi="方正楷体_GBK" w:eastAsia="方正楷体_GBK" w:cs="方正楷体_GBK"/>
          <w:b w:val="0"/>
          <w:bCs w:val="0"/>
          <w:kern w:val="0"/>
          <w:sz w:val="32"/>
          <w:szCs w:val="32"/>
          <w:lang w:val="en-US" w:eastAsia="zh-CN" w:bidi="ar"/>
        </w:rPr>
        <w:t>参数</w:t>
      </w:r>
      <w:r>
        <w:rPr>
          <w:rFonts w:hint="eastAsia" w:ascii="方正楷体_GBK" w:hAnsi="方正楷体_GBK" w:eastAsia="方正楷体_GBK" w:cs="方正楷体_GBK"/>
          <w:b w:val="0"/>
          <w:bCs w:val="0"/>
          <w:sz w:val="32"/>
          <w:szCs w:val="32"/>
          <w:lang w:eastAsia="zh-CN"/>
        </w:rPr>
        <w:t>响应文件</w:t>
      </w:r>
    </w:p>
    <w:p w14:paraId="306F38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（四）售后服务方案</w:t>
      </w:r>
      <w:bookmarkStart w:id="0" w:name="_GoBack"/>
      <w:bookmarkEnd w:id="0"/>
    </w:p>
    <w:p w14:paraId="35452E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lang w:eastAsia="zh-CN"/>
        </w:rPr>
      </w:pPr>
      <w:r>
        <w:rPr>
          <w:rFonts w:hint="eastAsia" w:ascii="方正楷体_GBK" w:hAnsi="方正楷体_GBK" w:eastAsia="方正楷体_GBK" w:cs="方正楷体_GBK"/>
          <w:b w:val="0"/>
          <w:bCs w:val="0"/>
          <w:sz w:val="32"/>
          <w:szCs w:val="32"/>
          <w:lang w:eastAsia="zh-CN"/>
        </w:rPr>
        <w:t>（五）业绩证明材料</w:t>
      </w:r>
    </w:p>
    <w:p w14:paraId="7B1292B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评审原则</w:t>
      </w:r>
    </w:p>
    <w:p w14:paraId="351ED8B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坚持公开透明、公平公正、质量优先、性价比最优的原则，杜绝恶意低价、虚假报价，综合考量供应商综合实力，确保项目质量达标。</w:t>
      </w:r>
    </w:p>
    <w:p w14:paraId="16AFBE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、工期及交付要求</w:t>
      </w:r>
    </w:p>
    <w:p w14:paraId="4FD82F8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kern w:val="0"/>
          <w:sz w:val="32"/>
          <w:szCs w:val="32"/>
          <w:lang w:val="en-US" w:eastAsia="zh-CN" w:bidi="ar"/>
        </w:rPr>
      </w:pPr>
      <w:r>
        <w:rPr>
          <w:rFonts w:hint="eastAsia" w:ascii="方正楷体_GBK" w:hAnsi="方正楷体_GBK" w:eastAsia="方正楷体_GBK" w:cs="方正楷体_GBK"/>
          <w:kern w:val="0"/>
          <w:sz w:val="32"/>
          <w:szCs w:val="32"/>
          <w:lang w:val="en-US" w:eastAsia="zh-CN" w:bidi="ar"/>
        </w:rPr>
        <w:t>（一）工期要求</w:t>
      </w:r>
    </w:p>
    <w:p w14:paraId="37005BF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b w:val="0"/>
          <w:bCs w:val="0"/>
          <w:kern w:val="0"/>
          <w:sz w:val="32"/>
          <w:szCs w:val="32"/>
          <w:lang w:val="en-US" w:eastAsia="zh-CN" w:bidi="ar"/>
        </w:rPr>
      </w:pPr>
      <w:r>
        <w:rPr>
          <w:rFonts w:hint="default" w:ascii="Times New Roman" w:hAnsi="Times New Roman" w:eastAsia="方正仿宋_GBK" w:cs="Times New Roman"/>
          <w:b w:val="0"/>
          <w:bCs w:val="0"/>
          <w:kern w:val="0"/>
          <w:sz w:val="32"/>
          <w:szCs w:val="32"/>
          <w:lang w:val="en-US" w:eastAsia="zh-CN" w:bidi="ar"/>
        </w:rPr>
        <w:t>合同签订后</w:t>
      </w:r>
      <w:r>
        <w:rPr>
          <w:rStyle w:val="8"/>
          <w:rFonts w:hint="default" w:ascii="Times New Roman" w:hAnsi="Times New Roman" w:eastAsia="方正仿宋_GBK" w:cs="Times New Roman"/>
          <w:b w:val="0"/>
          <w:bCs w:val="0"/>
          <w:kern w:val="0"/>
          <w:sz w:val="32"/>
          <w:szCs w:val="32"/>
          <w:lang w:val="en-US" w:eastAsia="zh-CN" w:bidi="ar"/>
        </w:rPr>
        <w:t>15个工作日内</w:t>
      </w:r>
      <w:r>
        <w:rPr>
          <w:rFonts w:hint="default" w:ascii="Times New Roman" w:hAnsi="Times New Roman" w:eastAsia="方正仿宋_GBK" w:cs="Times New Roman"/>
          <w:b w:val="0"/>
          <w:bCs w:val="0"/>
          <w:kern w:val="0"/>
          <w:sz w:val="32"/>
          <w:szCs w:val="32"/>
          <w:lang w:val="en-US" w:eastAsia="zh-CN" w:bidi="ar"/>
        </w:rPr>
        <w:t>完成全部老旧器材拆除清运、新设备采购安装、调试工作，整体项目竣工验收合格交付使用。</w:t>
      </w:r>
    </w:p>
    <w:p w14:paraId="0929722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楷体_GBK" w:hAnsi="方正楷体_GBK" w:eastAsia="方正楷体_GBK" w:cs="方正楷体_GBK"/>
          <w:kern w:val="0"/>
          <w:sz w:val="32"/>
          <w:szCs w:val="32"/>
          <w:lang w:val="en-US" w:eastAsia="zh-CN" w:bidi="ar"/>
        </w:rPr>
      </w:pPr>
      <w:r>
        <w:rPr>
          <w:rFonts w:hint="eastAsia" w:ascii="方正楷体_GBK" w:hAnsi="方正楷体_GBK" w:eastAsia="方正楷体_GBK" w:cs="方正楷体_GBK"/>
          <w:kern w:val="0"/>
          <w:sz w:val="32"/>
          <w:szCs w:val="32"/>
          <w:lang w:val="en-US" w:eastAsia="zh-CN" w:bidi="ar"/>
        </w:rPr>
        <w:t>（二）交付标准</w:t>
      </w:r>
    </w:p>
    <w:p w14:paraId="14D9651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所有设备安装调试完毕、运行正常，场地改造达标，现场整洁无杂物，完全满足校园体育教学、训练、赛事使用需求，顺利通过学院验收。</w:t>
      </w:r>
    </w:p>
    <w:p w14:paraId="7D1BDF8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售后服务及质保要求</w:t>
      </w:r>
    </w:p>
    <w:p w14:paraId="1B831F5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kern w:val="0"/>
          <w:sz w:val="32"/>
          <w:szCs w:val="32"/>
          <w:lang w:val="en-US" w:eastAsia="zh-CN" w:bidi="ar"/>
        </w:rPr>
        <w:t>整体项目质保期不低于</w:t>
      </w:r>
      <w:r>
        <w:rPr>
          <w:rStyle w:val="8"/>
          <w:rFonts w:hint="default" w:ascii="Times New Roman" w:hAnsi="Times New Roman" w:eastAsia="方正仿宋_GBK" w:cs="Times New Roman"/>
          <w:b w:val="0"/>
          <w:bCs w:val="0"/>
          <w:kern w:val="0"/>
          <w:sz w:val="32"/>
          <w:szCs w:val="32"/>
          <w:lang w:val="en-US" w:eastAsia="zh-CN" w:bidi="ar"/>
        </w:rPr>
        <w:t>1年</w:t>
      </w:r>
      <w:r>
        <w:rPr>
          <w:rFonts w:hint="default" w:ascii="Times New Roman" w:hAnsi="Times New Roman" w:eastAsia="方正仿宋_GBK" w:cs="Times New Roman"/>
          <w:b w:val="0"/>
          <w:bCs w:val="0"/>
          <w:kern w:val="0"/>
          <w:sz w:val="32"/>
          <w:szCs w:val="32"/>
          <w:lang w:val="en-US" w:eastAsia="zh-CN" w:bidi="ar"/>
        </w:rPr>
        <w:t>，质保期内设备出现锈蚀、松动、故障、破损等质量问题，供应商须免费维修、更换、调试，场地地垫出现开裂、脱落、老化等问题免费返修。</w:t>
      </w:r>
    </w:p>
    <w:p w14:paraId="468B5FC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b w:val="0"/>
          <w:bCs w:val="0"/>
          <w:sz w:val="32"/>
          <w:szCs w:val="32"/>
          <w:lang w:eastAsia="zh-CN"/>
        </w:rPr>
      </w:pPr>
      <w:r>
        <w:rPr>
          <w:rFonts w:hint="default" w:ascii="Times New Roman" w:hAnsi="Times New Roman" w:eastAsia="方正仿宋_GBK" w:cs="Times New Roman"/>
          <w:b w:val="0"/>
          <w:bCs w:val="0"/>
          <w:kern w:val="0"/>
          <w:sz w:val="32"/>
          <w:szCs w:val="32"/>
          <w:lang w:val="en-US" w:eastAsia="zh-CN" w:bidi="ar"/>
        </w:rPr>
        <w:t>售后响应：接到学院维修通知后，24小时内响应，48小时内到场处理问题，保障设施正常使用。</w:t>
      </w:r>
    </w:p>
    <w:p w14:paraId="596A2B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rPr>
        <w:t>其他说明</w:t>
      </w:r>
    </w:p>
    <w:p w14:paraId="225F284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（一）供应商须严格按照学院需求及行业标准施工，确保施工安全，施工期间发生的安全事故、财产损失等全部责任由供应商自行承担。</w:t>
      </w:r>
    </w:p>
    <w:p w14:paraId="1978D36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（二）项目实施过程中，学院有权对设备质量、施工进度、施工规范进行全程监督检查，对不符合要求的环节有权要求整改，供应商须无条件配合。</w:t>
      </w:r>
    </w:p>
    <w:p w14:paraId="73DC8E8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b w:val="0"/>
          <w:bCs w:val="0"/>
          <w:color w:val="000000"/>
          <w:sz w:val="32"/>
          <w:szCs w:val="32"/>
          <w:highlight w:val="none"/>
          <w:lang w:val="en-US" w:eastAsia="zh-CN"/>
        </w:rPr>
        <w:t>（三）本项目</w:t>
      </w:r>
      <w:r>
        <w:rPr>
          <w:rFonts w:hint="eastAsia" w:ascii="方正仿宋_GBK" w:hAnsi="方正仿宋_GBK" w:eastAsia="方正仿宋_GBK" w:cs="方正仿宋_GBK"/>
          <w:kern w:val="0"/>
          <w:sz w:val="32"/>
          <w:szCs w:val="32"/>
          <w:lang w:val="en-US" w:eastAsia="zh-CN" w:bidi="ar"/>
        </w:rPr>
        <w:t>不接受联合体投标、转包、分包。</w:t>
      </w:r>
    </w:p>
    <w:p w14:paraId="48D194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（四）参选单位应对所提交材料的真实性负责，如有虚假，取消参选资格；</w:t>
      </w:r>
    </w:p>
    <w:p w14:paraId="3ACCDF1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t>（五）本方案解释权归宁夏葡萄酒与防沙治沙职业技术学院公共学科部所有。</w:t>
      </w:r>
    </w:p>
    <w:p w14:paraId="575471A7">
      <w:pPr>
        <w:keepNext w:val="0"/>
        <w:keepLines w:val="0"/>
        <w:pageBreakBefore w:val="0"/>
        <w:wordWrap/>
        <w:overflowPunct/>
        <w:topLinePunct w:val="0"/>
        <w:bidi w:val="0"/>
        <w:spacing w:line="360" w:lineRule="auto"/>
        <w:jc w:val="center"/>
        <w:rPr>
          <w:rFonts w:hint="eastAsia" w:ascii="仿宋_GB2312" w:eastAsia="仿宋_GB2312"/>
          <w:sz w:val="32"/>
          <w:szCs w:val="32"/>
        </w:rPr>
      </w:pPr>
    </w:p>
    <w:p w14:paraId="1D55495F">
      <w:pPr>
        <w:keepNext w:val="0"/>
        <w:keepLines w:val="0"/>
        <w:pageBreakBefore w:val="0"/>
        <w:kinsoku/>
        <w:wordWrap/>
        <w:overflowPunct/>
        <w:topLinePunct w:val="0"/>
        <w:autoSpaceDE/>
        <w:autoSpaceDN/>
        <w:bidi w:val="0"/>
        <w:adjustRightInd/>
        <w:snapToGrid/>
        <w:spacing w:before="156" w:beforeLines="50" w:after="156" w:afterLines="50" w:line="560" w:lineRule="exact"/>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附件1：询价报价单</w:t>
      </w:r>
    </w:p>
    <w:p w14:paraId="7C519C9D">
      <w:pPr>
        <w:keepNext w:val="0"/>
        <w:keepLines w:val="0"/>
        <w:pageBreakBefore w:val="0"/>
        <w:kinsoku/>
        <w:wordWrap/>
        <w:overflowPunct/>
        <w:topLinePunct w:val="0"/>
        <w:autoSpaceDE/>
        <w:autoSpaceDN/>
        <w:bidi w:val="0"/>
        <w:adjustRightInd/>
        <w:snapToGrid/>
        <w:spacing w:before="156" w:beforeLines="50" w:after="156" w:afterLines="50" w:line="560" w:lineRule="exact"/>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附件2：</w:t>
      </w:r>
      <w:r>
        <w:rPr>
          <w:rFonts w:hint="eastAsia" w:ascii="Times New Roman" w:hAnsi="Times New Roman" w:eastAsia="方正仿宋_GBK" w:cs="Times New Roman"/>
          <w:kern w:val="2"/>
          <w:sz w:val="32"/>
          <w:szCs w:val="32"/>
          <w:lang w:val="en-US" w:eastAsia="zh-CN" w:bidi="ar-SA"/>
        </w:rPr>
        <w:t>采</w:t>
      </w:r>
      <w:r>
        <w:rPr>
          <w:rFonts w:hint="default" w:ascii="Times New Roman" w:hAnsi="Times New Roman" w:eastAsia="方正仿宋_GBK" w:cs="Times New Roman"/>
          <w:kern w:val="0"/>
          <w:sz w:val="32"/>
          <w:szCs w:val="32"/>
          <w:lang w:val="en-US" w:eastAsia="zh-CN" w:bidi="ar"/>
        </w:rPr>
        <w:t>购需求及评分标准</w:t>
      </w:r>
    </w:p>
    <w:p w14:paraId="1E7A5AAC">
      <w:pPr>
        <w:keepNext w:val="0"/>
        <w:keepLines w:val="0"/>
        <w:pageBreakBefore w:val="0"/>
        <w:wordWrap/>
        <w:overflowPunct/>
        <w:topLinePunct w:val="0"/>
        <w:bidi w:val="0"/>
        <w:spacing w:line="360" w:lineRule="auto"/>
        <w:jc w:val="center"/>
        <w:rPr>
          <w:rFonts w:hint="eastAsia" w:ascii="仿宋_GB2312" w:eastAsia="仿宋_GB2312"/>
          <w:sz w:val="32"/>
          <w:szCs w:val="32"/>
        </w:rPr>
      </w:pPr>
    </w:p>
    <w:p w14:paraId="2781AE8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宁夏葡萄酒与防沙治沙职业技术学院</w:t>
      </w:r>
    </w:p>
    <w:p w14:paraId="0BCADFB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2026年7月24日</w:t>
      </w:r>
    </w:p>
    <w:p w14:paraId="6D1B722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方正仿宋_GBK" w:hAnsi="方正仿宋_GBK" w:eastAsia="方正仿宋_GBK" w:cs="方正仿宋_GBK"/>
          <w:kern w:val="2"/>
          <w:sz w:val="32"/>
          <w:szCs w:val="32"/>
          <w:lang w:val="en-US" w:eastAsia="zh-CN" w:bidi="ar-SA"/>
        </w:rPr>
      </w:pPr>
    </w:p>
    <w:p w14:paraId="0C801C2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b/>
          <w:bCs/>
          <w:sz w:val="32"/>
          <w:szCs w:val="32"/>
        </w:rPr>
      </w:pPr>
    </w:p>
    <w:p w14:paraId="45B7638E">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22D4B9A1">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17777710">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77B4240C">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56B2FA5F">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3E10C16F">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295E2B3E">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489FA169">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6504965E">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50150973">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26BBE6CD">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5E9D4BD7">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295B2D3A">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eastAsia="zh-CN"/>
        </w:rPr>
      </w:pPr>
    </w:p>
    <w:p w14:paraId="75C7932C">
      <w:pPr>
        <w:keepNext w:val="0"/>
        <w:keepLines w:val="0"/>
        <w:pageBreakBefore w:val="0"/>
        <w:wordWrap/>
        <w:overflowPunct/>
        <w:topLinePunct w:val="0"/>
        <w:bidi w:val="0"/>
        <w:spacing w:line="360" w:lineRule="auto"/>
        <w:jc w:val="left"/>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eastAsia="zh-CN"/>
        </w:rPr>
        <w:t>附件</w:t>
      </w:r>
      <w:r>
        <w:rPr>
          <w:rFonts w:hint="default" w:ascii="Times New Roman" w:hAnsi="Times New Roman" w:eastAsia="方正仿宋_GBK" w:cs="Times New Roman"/>
          <w:b w:val="0"/>
          <w:bCs w:val="0"/>
          <w:sz w:val="32"/>
          <w:szCs w:val="32"/>
          <w:lang w:val="en-US" w:eastAsia="zh-CN"/>
        </w:rPr>
        <w:t>1</w:t>
      </w:r>
    </w:p>
    <w:p w14:paraId="062F0688">
      <w:pPr>
        <w:keepNext w:val="0"/>
        <w:keepLines w:val="0"/>
        <w:pageBreakBefore w:val="0"/>
        <w:wordWrap/>
        <w:overflowPunct/>
        <w:topLinePunct w:val="0"/>
        <w:bidi w:val="0"/>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询价报价单</w:t>
      </w:r>
    </w:p>
    <w:p w14:paraId="231F1952">
      <w:pPr>
        <w:keepNext w:val="0"/>
        <w:keepLines w:val="0"/>
        <w:pageBreakBefore w:val="0"/>
        <w:wordWrap/>
        <w:overflowPunct/>
        <w:topLinePunct w:val="0"/>
        <w:bidi w:val="0"/>
        <w:spacing w:before="156" w:beforeLines="50" w:after="156" w:afterLines="50" w:line="360" w:lineRule="auto"/>
        <w:rPr>
          <w:rFonts w:ascii="仿宋_GB2312" w:hAnsi="宋体" w:eastAsia="仿宋_GB2312"/>
          <w:sz w:val="32"/>
          <w:szCs w:val="32"/>
        </w:rPr>
      </w:pPr>
      <w:r>
        <w:rPr>
          <w:rFonts w:hint="eastAsia" w:ascii="仿宋_GB2312" w:hAnsi="宋体" w:eastAsia="仿宋_GB2312"/>
          <w:bCs/>
          <w:sz w:val="32"/>
          <w:szCs w:val="32"/>
        </w:rPr>
        <w:t>询价单位：</w:t>
      </w:r>
      <w:r>
        <w:rPr>
          <w:rFonts w:hint="eastAsia" w:ascii="仿宋_GB2312" w:hAnsi="宋体" w:eastAsia="仿宋_GB2312"/>
          <w:sz w:val="32"/>
          <w:szCs w:val="32"/>
          <w:u w:val="single"/>
        </w:rPr>
        <w:t>宁夏葡萄酒与防沙治沙职业技术学院</w:t>
      </w:r>
    </w:p>
    <w:p w14:paraId="36A117A4">
      <w:pPr>
        <w:keepNext w:val="0"/>
        <w:keepLines w:val="0"/>
        <w:pageBreakBefore w:val="0"/>
        <w:wordWrap/>
        <w:overflowPunct/>
        <w:topLinePunct w:val="0"/>
        <w:bidi w:val="0"/>
        <w:spacing w:before="156" w:beforeLines="50" w:after="156" w:afterLines="50" w:line="360" w:lineRule="auto"/>
        <w:rPr>
          <w:rFonts w:ascii="仿宋_GB2312" w:hAnsi="宋体" w:eastAsia="仿宋_GB2312"/>
          <w:sz w:val="32"/>
          <w:szCs w:val="32"/>
        </w:rPr>
      </w:pPr>
      <w:r>
        <w:rPr>
          <w:rFonts w:hint="eastAsia" w:ascii="仿宋_GB2312" w:hAnsi="宋体" w:eastAsia="仿宋_GB2312"/>
          <w:sz w:val="32"/>
          <w:szCs w:val="32"/>
        </w:rPr>
        <w:t>报价单位：</w:t>
      </w: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 xml:space="preserve">                              </w:t>
      </w:r>
      <w:r>
        <w:rPr>
          <w:rFonts w:ascii="仿宋_GB2312" w:hAnsi="宋体" w:eastAsia="仿宋_GB2312"/>
          <w:sz w:val="32"/>
          <w:szCs w:val="32"/>
          <w:u w:val="single"/>
        </w:rPr>
        <w:t xml:space="preserve"> </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5"/>
        <w:gridCol w:w="6332"/>
      </w:tblGrid>
      <w:tr w14:paraId="6BDA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504" w:type="pct"/>
            <w:noWrap w:val="0"/>
            <w:vAlign w:val="center"/>
          </w:tcPr>
          <w:p w14:paraId="540F5D38">
            <w:pPr>
              <w:keepNext w:val="0"/>
              <w:keepLines w:val="0"/>
              <w:pageBreakBefore w:val="0"/>
              <w:wordWrap/>
              <w:overflowPunct/>
              <w:topLinePunct w:val="0"/>
              <w:bidi w:val="0"/>
              <w:spacing w:before="156" w:beforeLines="50" w:after="156" w:afterLines="50" w:line="360" w:lineRule="auto"/>
              <w:jc w:val="center"/>
              <w:rPr>
                <w:rFonts w:hint="default" w:ascii="仿宋_GB2312" w:hAnsi="仿宋" w:eastAsia="仿宋_GB2312" w:cs="仿宋_GB2312"/>
                <w:b w:val="0"/>
                <w:bCs/>
                <w:sz w:val="24"/>
                <w:szCs w:val="24"/>
                <w:lang w:val="en-US" w:eastAsia="zh-CN"/>
              </w:rPr>
            </w:pPr>
            <w:r>
              <w:rPr>
                <w:rFonts w:hint="eastAsia" w:ascii="仿宋_GB2312" w:hAnsi="仿宋" w:eastAsia="仿宋_GB2312" w:cs="仿宋_GB2312"/>
                <w:b w:val="0"/>
                <w:bCs/>
                <w:sz w:val="24"/>
                <w:szCs w:val="24"/>
                <w:lang w:val="en-US" w:eastAsia="zh-CN"/>
              </w:rPr>
              <w:t>项目名称</w:t>
            </w:r>
          </w:p>
        </w:tc>
        <w:tc>
          <w:tcPr>
            <w:tcW w:w="3495" w:type="pct"/>
            <w:noWrap w:val="0"/>
            <w:vAlign w:val="center"/>
          </w:tcPr>
          <w:p w14:paraId="7EBF72EB">
            <w:pPr>
              <w:keepNext w:val="0"/>
              <w:keepLines w:val="0"/>
              <w:pageBreakBefore w:val="0"/>
              <w:wordWrap/>
              <w:overflowPunct/>
              <w:topLinePunct w:val="0"/>
              <w:bidi w:val="0"/>
              <w:spacing w:before="156" w:beforeLines="50" w:after="156" w:afterLines="50" w:line="360" w:lineRule="auto"/>
              <w:jc w:val="center"/>
              <w:rPr>
                <w:rFonts w:ascii="仿宋_GB2312" w:hAnsi="仿宋" w:eastAsia="仿宋_GB2312" w:cs="仿宋_GB2312"/>
                <w:b w:val="0"/>
                <w:bCs/>
                <w:sz w:val="24"/>
                <w:szCs w:val="24"/>
              </w:rPr>
            </w:pPr>
          </w:p>
        </w:tc>
      </w:tr>
      <w:tr w14:paraId="7489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504" w:type="pct"/>
            <w:noWrap w:val="0"/>
            <w:vAlign w:val="center"/>
          </w:tcPr>
          <w:p w14:paraId="2F671354">
            <w:pPr>
              <w:keepNext w:val="0"/>
              <w:keepLines w:val="0"/>
              <w:pageBreakBefore w:val="0"/>
              <w:wordWrap/>
              <w:overflowPunct/>
              <w:topLinePunct w:val="0"/>
              <w:bidi w:val="0"/>
              <w:spacing w:before="156" w:beforeLines="50" w:after="156" w:afterLines="50" w:line="360" w:lineRule="auto"/>
              <w:jc w:val="center"/>
              <w:rPr>
                <w:rFonts w:hint="default" w:ascii="仿宋_GB2312" w:hAnsi="仿宋" w:eastAsia="仿宋_GB2312" w:cs="仿宋_GB2312"/>
                <w:b w:val="0"/>
                <w:bCs/>
                <w:sz w:val="24"/>
                <w:szCs w:val="24"/>
                <w:lang w:val="en-US" w:eastAsia="zh-CN"/>
              </w:rPr>
            </w:pPr>
            <w:r>
              <w:rPr>
                <w:rFonts w:hint="eastAsia" w:ascii="仿宋_GB2312" w:hAnsi="仿宋" w:eastAsia="仿宋_GB2312" w:cs="仿宋_GB2312"/>
                <w:b w:val="0"/>
                <w:bCs/>
                <w:sz w:val="24"/>
                <w:szCs w:val="24"/>
                <w:lang w:val="en-US" w:eastAsia="zh-CN"/>
              </w:rPr>
              <w:t>报价单位名称</w:t>
            </w:r>
          </w:p>
        </w:tc>
        <w:tc>
          <w:tcPr>
            <w:tcW w:w="3495" w:type="pct"/>
            <w:noWrap w:val="0"/>
            <w:vAlign w:val="center"/>
          </w:tcPr>
          <w:p w14:paraId="04DE93BC">
            <w:pPr>
              <w:keepNext w:val="0"/>
              <w:keepLines w:val="0"/>
              <w:pageBreakBefore w:val="0"/>
              <w:wordWrap/>
              <w:overflowPunct/>
              <w:topLinePunct w:val="0"/>
              <w:bidi w:val="0"/>
              <w:spacing w:before="156" w:beforeLines="50" w:after="156" w:afterLines="50" w:line="360" w:lineRule="auto"/>
              <w:jc w:val="center"/>
              <w:rPr>
                <w:rFonts w:hint="eastAsia" w:ascii="仿宋_GB2312" w:hAnsi="宋体" w:eastAsia="仿宋_GB2312" w:cs="宋体"/>
                <w:b w:val="0"/>
                <w:bCs/>
                <w:color w:val="000000"/>
                <w:kern w:val="0"/>
                <w:sz w:val="24"/>
                <w:szCs w:val="24"/>
                <w:lang w:val="en-US" w:eastAsia="zh-CN"/>
              </w:rPr>
            </w:pPr>
          </w:p>
        </w:tc>
      </w:tr>
      <w:tr w14:paraId="6CD8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504" w:type="pct"/>
            <w:noWrap w:val="0"/>
            <w:vAlign w:val="center"/>
          </w:tcPr>
          <w:p w14:paraId="6BC9FABD">
            <w:pPr>
              <w:keepNext w:val="0"/>
              <w:keepLines w:val="0"/>
              <w:pageBreakBefore w:val="0"/>
              <w:wordWrap/>
              <w:overflowPunct/>
              <w:topLinePunct w:val="0"/>
              <w:bidi w:val="0"/>
              <w:spacing w:before="156" w:beforeLines="50" w:after="156" w:afterLines="50" w:line="360" w:lineRule="auto"/>
              <w:jc w:val="center"/>
              <w:rPr>
                <w:rFonts w:hint="default" w:ascii="仿宋_GB2312" w:hAnsi="仿宋" w:eastAsia="仿宋_GB2312" w:cs="仿宋_GB2312"/>
                <w:b w:val="0"/>
                <w:bCs/>
                <w:sz w:val="24"/>
                <w:szCs w:val="24"/>
                <w:lang w:val="en-US" w:eastAsia="zh-CN"/>
              </w:rPr>
            </w:pPr>
            <w:r>
              <w:rPr>
                <w:rFonts w:hint="eastAsia" w:ascii="仿宋_GB2312" w:hAnsi="仿宋" w:eastAsia="仿宋_GB2312" w:cs="仿宋_GB2312"/>
                <w:b w:val="0"/>
                <w:bCs/>
                <w:sz w:val="24"/>
                <w:szCs w:val="24"/>
                <w:lang w:val="en-US" w:eastAsia="zh-CN"/>
              </w:rPr>
              <w:t>联系人</w:t>
            </w:r>
          </w:p>
        </w:tc>
        <w:tc>
          <w:tcPr>
            <w:tcW w:w="3495" w:type="pct"/>
            <w:noWrap w:val="0"/>
            <w:vAlign w:val="center"/>
          </w:tcPr>
          <w:p w14:paraId="2C99EE72">
            <w:pPr>
              <w:keepNext w:val="0"/>
              <w:keepLines w:val="0"/>
              <w:pageBreakBefore w:val="0"/>
              <w:wordWrap/>
              <w:overflowPunct/>
              <w:topLinePunct w:val="0"/>
              <w:bidi w:val="0"/>
              <w:spacing w:before="156" w:beforeLines="50" w:after="156" w:afterLines="50" w:line="360" w:lineRule="auto"/>
              <w:jc w:val="center"/>
              <w:rPr>
                <w:rFonts w:hint="eastAsia" w:ascii="仿宋_GB2312" w:hAnsi="宋体" w:eastAsia="仿宋_GB2312" w:cs="宋体"/>
                <w:b w:val="0"/>
                <w:bCs/>
                <w:color w:val="000000"/>
                <w:kern w:val="0"/>
                <w:sz w:val="24"/>
                <w:szCs w:val="24"/>
                <w:lang w:val="en-US" w:eastAsia="zh-CN"/>
              </w:rPr>
            </w:pPr>
          </w:p>
        </w:tc>
      </w:tr>
      <w:tr w14:paraId="7E74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504" w:type="pct"/>
            <w:noWrap w:val="0"/>
            <w:vAlign w:val="center"/>
          </w:tcPr>
          <w:p w14:paraId="1A9D6EB1">
            <w:pPr>
              <w:keepNext w:val="0"/>
              <w:keepLines w:val="0"/>
              <w:pageBreakBefore w:val="0"/>
              <w:wordWrap/>
              <w:overflowPunct/>
              <w:topLinePunct w:val="0"/>
              <w:bidi w:val="0"/>
              <w:spacing w:before="156" w:beforeLines="50" w:after="156" w:afterLines="50" w:line="360" w:lineRule="auto"/>
              <w:jc w:val="center"/>
              <w:rPr>
                <w:rFonts w:hint="default" w:ascii="仿宋_GB2312" w:hAnsi="仿宋" w:eastAsia="仿宋_GB2312" w:cs="仿宋_GB2312"/>
                <w:b w:val="0"/>
                <w:bCs/>
                <w:sz w:val="24"/>
                <w:szCs w:val="24"/>
                <w:lang w:val="en-US" w:eastAsia="zh-CN"/>
              </w:rPr>
            </w:pPr>
            <w:r>
              <w:rPr>
                <w:rFonts w:hint="eastAsia" w:ascii="仿宋_GB2312" w:hAnsi="仿宋" w:eastAsia="仿宋_GB2312" w:cs="仿宋_GB2312"/>
                <w:b w:val="0"/>
                <w:bCs/>
                <w:sz w:val="24"/>
                <w:szCs w:val="24"/>
                <w:lang w:val="en-US" w:eastAsia="zh-CN"/>
              </w:rPr>
              <w:t>电话及邮箱</w:t>
            </w:r>
          </w:p>
        </w:tc>
        <w:tc>
          <w:tcPr>
            <w:tcW w:w="3495" w:type="pct"/>
            <w:noWrap w:val="0"/>
            <w:vAlign w:val="center"/>
          </w:tcPr>
          <w:p w14:paraId="7A88C66B">
            <w:pPr>
              <w:keepNext w:val="0"/>
              <w:keepLines w:val="0"/>
              <w:pageBreakBefore w:val="0"/>
              <w:wordWrap/>
              <w:overflowPunct/>
              <w:topLinePunct w:val="0"/>
              <w:bidi w:val="0"/>
              <w:spacing w:before="156" w:beforeLines="50" w:after="156" w:afterLines="50" w:line="360" w:lineRule="auto"/>
              <w:jc w:val="center"/>
              <w:rPr>
                <w:rFonts w:hint="eastAsia" w:ascii="仿宋_GB2312" w:hAnsi="宋体" w:eastAsia="仿宋_GB2312" w:cs="宋体"/>
                <w:b w:val="0"/>
                <w:bCs/>
                <w:color w:val="000000"/>
                <w:kern w:val="0"/>
                <w:sz w:val="24"/>
                <w:szCs w:val="24"/>
                <w:lang w:val="en-US" w:eastAsia="zh-CN"/>
              </w:rPr>
            </w:pPr>
          </w:p>
        </w:tc>
      </w:tr>
      <w:tr w14:paraId="273A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504" w:type="pct"/>
            <w:noWrap w:val="0"/>
            <w:vAlign w:val="center"/>
          </w:tcPr>
          <w:p w14:paraId="2C7ADCE9">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jc w:val="center"/>
              <w:textAlignment w:val="auto"/>
              <w:rPr>
                <w:rFonts w:hint="eastAsia" w:ascii="仿宋_GB2312" w:hAnsi="仿宋" w:eastAsia="仿宋_GB2312" w:cs="仿宋_GB2312"/>
                <w:b w:val="0"/>
                <w:bCs/>
                <w:sz w:val="24"/>
                <w:szCs w:val="24"/>
                <w:lang w:val="en-US" w:eastAsia="zh-CN"/>
              </w:rPr>
            </w:pPr>
            <w:r>
              <w:rPr>
                <w:rFonts w:hint="eastAsia" w:ascii="仿宋_GB2312" w:hAnsi="仿宋" w:eastAsia="仿宋_GB2312" w:cs="仿宋_GB2312"/>
                <w:b w:val="0"/>
                <w:bCs/>
                <w:sz w:val="24"/>
                <w:szCs w:val="24"/>
                <w:lang w:val="en-US" w:eastAsia="zh-CN"/>
              </w:rPr>
              <w:t>是否满足全部</w:t>
            </w:r>
          </w:p>
          <w:p w14:paraId="2440B101">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jc w:val="center"/>
              <w:textAlignment w:val="auto"/>
              <w:rPr>
                <w:rFonts w:ascii="仿宋_GB2312" w:hAnsi="宋体" w:eastAsia="仿宋_GB2312" w:cs="宋体"/>
                <w:b w:val="0"/>
                <w:bCs/>
                <w:color w:val="000000"/>
                <w:kern w:val="0"/>
                <w:sz w:val="24"/>
                <w:szCs w:val="24"/>
              </w:rPr>
            </w:pPr>
            <w:r>
              <w:rPr>
                <w:rFonts w:hint="eastAsia" w:ascii="仿宋_GB2312" w:hAnsi="仿宋" w:eastAsia="仿宋_GB2312" w:cs="仿宋_GB2312"/>
                <w:b w:val="0"/>
                <w:bCs/>
                <w:sz w:val="24"/>
                <w:szCs w:val="24"/>
                <w:lang w:val="en-US" w:eastAsia="zh-CN"/>
              </w:rPr>
              <w:t>服务内容要求</w:t>
            </w:r>
          </w:p>
        </w:tc>
        <w:tc>
          <w:tcPr>
            <w:tcW w:w="3495" w:type="pct"/>
            <w:noWrap w:val="0"/>
            <w:vAlign w:val="center"/>
          </w:tcPr>
          <w:p w14:paraId="7DC88D55">
            <w:pPr>
              <w:keepNext w:val="0"/>
              <w:keepLines w:val="0"/>
              <w:pageBreakBefore w:val="0"/>
              <w:wordWrap/>
              <w:overflowPunct/>
              <w:topLinePunct w:val="0"/>
              <w:bidi w:val="0"/>
              <w:spacing w:before="156" w:beforeLines="50" w:after="156" w:afterLines="50" w:line="360" w:lineRule="auto"/>
              <w:jc w:val="center"/>
              <w:rPr>
                <w:rFonts w:ascii="仿宋_GB2312" w:hAnsi="宋体" w:eastAsia="仿宋_GB2312" w:cs="宋体"/>
                <w:b w:val="0"/>
                <w:bCs/>
                <w:color w:val="000000"/>
                <w:kern w:val="0"/>
                <w:sz w:val="24"/>
                <w:szCs w:val="24"/>
              </w:rPr>
            </w:pPr>
          </w:p>
        </w:tc>
      </w:tr>
      <w:tr w14:paraId="2E18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504" w:type="pct"/>
            <w:noWrap w:val="0"/>
            <w:vAlign w:val="center"/>
          </w:tcPr>
          <w:p w14:paraId="2A10C803">
            <w:pPr>
              <w:keepNext w:val="0"/>
              <w:keepLines w:val="0"/>
              <w:pageBreakBefore w:val="0"/>
              <w:wordWrap/>
              <w:overflowPunct/>
              <w:topLinePunct w:val="0"/>
              <w:bidi w:val="0"/>
              <w:spacing w:before="156" w:beforeLines="50" w:after="156" w:afterLines="50" w:line="360" w:lineRule="auto"/>
              <w:jc w:val="center"/>
              <w:rPr>
                <w:rFonts w:hint="eastAsia" w:ascii="仿宋_GB2312" w:hAnsi="宋体" w:eastAsia="仿宋_GB2312" w:cs="宋体"/>
                <w:b w:val="0"/>
                <w:bCs/>
                <w:color w:val="000000"/>
                <w:kern w:val="0"/>
                <w:sz w:val="24"/>
                <w:szCs w:val="24"/>
                <w:lang w:val="en-US" w:eastAsia="zh-CN"/>
              </w:rPr>
            </w:pPr>
            <w:r>
              <w:rPr>
                <w:rFonts w:hint="eastAsia" w:ascii="仿宋_GB2312" w:hAnsi="仿宋" w:eastAsia="仿宋_GB2312" w:cs="仿宋_GB2312"/>
                <w:b w:val="0"/>
                <w:bCs/>
                <w:sz w:val="24"/>
                <w:szCs w:val="24"/>
                <w:lang w:val="en-US" w:eastAsia="zh-CN"/>
              </w:rPr>
              <w:t>项目服务时间</w:t>
            </w:r>
          </w:p>
        </w:tc>
        <w:tc>
          <w:tcPr>
            <w:tcW w:w="3495" w:type="pct"/>
            <w:noWrap w:val="0"/>
            <w:vAlign w:val="center"/>
          </w:tcPr>
          <w:p w14:paraId="7E655759">
            <w:pPr>
              <w:keepNext w:val="0"/>
              <w:keepLines w:val="0"/>
              <w:pageBreakBefore w:val="0"/>
              <w:wordWrap/>
              <w:overflowPunct/>
              <w:topLinePunct w:val="0"/>
              <w:bidi w:val="0"/>
              <w:spacing w:before="156" w:beforeLines="50" w:after="156" w:afterLines="50" w:line="360" w:lineRule="auto"/>
              <w:jc w:val="center"/>
              <w:rPr>
                <w:rFonts w:ascii="仿宋_GB2312" w:hAnsi="宋体" w:eastAsia="仿宋_GB2312" w:cs="宋体"/>
                <w:b w:val="0"/>
                <w:bCs/>
                <w:color w:val="000000"/>
                <w:kern w:val="0"/>
                <w:sz w:val="24"/>
                <w:szCs w:val="24"/>
              </w:rPr>
            </w:pPr>
          </w:p>
        </w:tc>
      </w:tr>
      <w:tr w14:paraId="39C6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504" w:type="pct"/>
            <w:noWrap w:val="0"/>
            <w:vAlign w:val="center"/>
          </w:tcPr>
          <w:p w14:paraId="306B1978">
            <w:pPr>
              <w:keepNext w:val="0"/>
              <w:keepLines w:val="0"/>
              <w:pageBreakBefore w:val="0"/>
              <w:wordWrap/>
              <w:overflowPunct/>
              <w:topLinePunct w:val="0"/>
              <w:bidi w:val="0"/>
              <w:spacing w:before="156" w:beforeLines="50" w:after="156" w:afterLines="50" w:line="360" w:lineRule="auto"/>
              <w:jc w:val="center"/>
              <w:rPr>
                <w:rFonts w:hint="default" w:ascii="仿宋_GB2312" w:hAnsi="仿宋" w:eastAsia="仿宋_GB2312" w:cs="仿宋_GB2312"/>
                <w:b w:val="0"/>
                <w:bCs/>
                <w:sz w:val="24"/>
                <w:szCs w:val="24"/>
                <w:lang w:val="en-US" w:eastAsia="zh-CN"/>
              </w:rPr>
            </w:pPr>
            <w:r>
              <w:rPr>
                <w:rFonts w:hint="eastAsia" w:ascii="仿宋_GB2312" w:hAnsi="仿宋" w:eastAsia="仿宋_GB2312" w:cs="仿宋_GB2312"/>
                <w:b w:val="0"/>
                <w:bCs/>
                <w:sz w:val="24"/>
                <w:szCs w:val="24"/>
                <w:lang w:val="en-US" w:eastAsia="zh-CN"/>
              </w:rPr>
              <w:t>报 价（含税）</w:t>
            </w:r>
          </w:p>
        </w:tc>
        <w:tc>
          <w:tcPr>
            <w:tcW w:w="3495" w:type="pct"/>
            <w:noWrap w:val="0"/>
            <w:vAlign w:val="center"/>
          </w:tcPr>
          <w:p w14:paraId="4767C4E2">
            <w:pPr>
              <w:keepNext w:val="0"/>
              <w:keepLines w:val="0"/>
              <w:pageBreakBefore w:val="0"/>
              <w:wordWrap/>
              <w:overflowPunct/>
              <w:topLinePunct w:val="0"/>
              <w:bidi w:val="0"/>
              <w:spacing w:before="156" w:beforeLines="50" w:after="156" w:afterLines="50" w:line="360" w:lineRule="auto"/>
              <w:jc w:val="left"/>
              <w:rPr>
                <w:rFonts w:hint="eastAsia" w:ascii="仿宋_GB2312" w:hAnsi="宋体" w:eastAsia="仿宋_GB2312" w:cs="宋体"/>
                <w:b w:val="0"/>
                <w:bCs/>
                <w:color w:val="000000"/>
                <w:kern w:val="0"/>
                <w:sz w:val="24"/>
                <w:szCs w:val="24"/>
                <w:lang w:val="en-US" w:eastAsia="zh-CN"/>
              </w:rPr>
            </w:pPr>
            <w:r>
              <w:rPr>
                <w:rFonts w:hint="eastAsia" w:ascii="仿宋_GB2312" w:hAnsi="宋体" w:eastAsia="仿宋_GB2312" w:cs="宋体"/>
                <w:b w:val="0"/>
                <w:bCs/>
                <w:color w:val="000000"/>
                <w:kern w:val="0"/>
                <w:sz w:val="24"/>
                <w:szCs w:val="24"/>
                <w:lang w:val="en-US" w:eastAsia="zh-CN"/>
              </w:rPr>
              <w:t>人民币：（小写）</w:t>
            </w:r>
            <w:r>
              <w:rPr>
                <w:rFonts w:hint="eastAsia" w:ascii="仿宋_GB2312" w:hAnsi="宋体" w:eastAsia="仿宋_GB2312" w:cs="宋体"/>
                <w:b w:val="0"/>
                <w:bCs/>
                <w:color w:val="000000"/>
                <w:kern w:val="0"/>
                <w:sz w:val="24"/>
                <w:szCs w:val="24"/>
                <w:u w:val="single"/>
                <w:lang w:val="en-US" w:eastAsia="zh-CN"/>
              </w:rPr>
              <w:t xml:space="preserve">            </w:t>
            </w:r>
            <w:r>
              <w:rPr>
                <w:rFonts w:hint="eastAsia" w:ascii="仿宋_GB2312" w:hAnsi="宋体" w:eastAsia="仿宋_GB2312" w:cs="宋体"/>
                <w:b w:val="0"/>
                <w:bCs/>
                <w:color w:val="000000"/>
                <w:kern w:val="0"/>
                <w:sz w:val="24"/>
                <w:szCs w:val="24"/>
                <w:lang w:val="en-US" w:eastAsia="zh-CN"/>
              </w:rPr>
              <w:t xml:space="preserve"> </w:t>
            </w:r>
          </w:p>
          <w:p w14:paraId="4AB3E88D">
            <w:pPr>
              <w:keepNext w:val="0"/>
              <w:keepLines w:val="0"/>
              <w:pageBreakBefore w:val="0"/>
              <w:wordWrap/>
              <w:overflowPunct/>
              <w:topLinePunct w:val="0"/>
              <w:bidi w:val="0"/>
              <w:spacing w:before="156" w:beforeLines="50" w:after="156" w:afterLines="50" w:line="360" w:lineRule="auto"/>
              <w:jc w:val="left"/>
              <w:rPr>
                <w:rFonts w:hint="default" w:ascii="仿宋_GB2312" w:hAnsi="宋体" w:eastAsia="仿宋_GB2312" w:cs="宋体"/>
                <w:b w:val="0"/>
                <w:bCs/>
                <w:color w:val="000000"/>
                <w:kern w:val="0"/>
                <w:sz w:val="24"/>
                <w:szCs w:val="24"/>
                <w:lang w:val="en-US" w:eastAsia="zh-CN"/>
              </w:rPr>
            </w:pPr>
            <w:r>
              <w:rPr>
                <w:rFonts w:hint="eastAsia" w:ascii="仿宋_GB2312" w:hAnsi="宋体" w:eastAsia="仿宋_GB2312" w:cs="宋体"/>
                <w:b w:val="0"/>
                <w:bCs/>
                <w:color w:val="000000"/>
                <w:kern w:val="0"/>
                <w:sz w:val="24"/>
                <w:szCs w:val="24"/>
                <w:lang w:val="en-US" w:eastAsia="zh-CN"/>
              </w:rPr>
              <w:t xml:space="preserve">        （大写）</w:t>
            </w:r>
            <w:r>
              <w:rPr>
                <w:rFonts w:hint="eastAsia" w:ascii="仿宋_GB2312" w:hAnsi="宋体" w:eastAsia="仿宋_GB2312" w:cs="宋体"/>
                <w:b w:val="0"/>
                <w:bCs/>
                <w:color w:val="000000"/>
                <w:kern w:val="0"/>
                <w:sz w:val="24"/>
                <w:szCs w:val="24"/>
                <w:u w:val="single"/>
                <w:lang w:val="en-US" w:eastAsia="zh-CN"/>
              </w:rPr>
              <w:t xml:space="preserve">            </w:t>
            </w:r>
            <w:r>
              <w:rPr>
                <w:rFonts w:hint="eastAsia" w:ascii="仿宋_GB2312" w:hAnsi="宋体" w:eastAsia="仿宋_GB2312" w:cs="宋体"/>
                <w:b w:val="0"/>
                <w:bCs/>
                <w:color w:val="000000"/>
                <w:kern w:val="0"/>
                <w:sz w:val="24"/>
                <w:szCs w:val="24"/>
                <w:lang w:val="en-US" w:eastAsia="zh-CN"/>
              </w:rPr>
              <w:t xml:space="preserve"> </w:t>
            </w:r>
          </w:p>
        </w:tc>
      </w:tr>
    </w:tbl>
    <w:p w14:paraId="631E218F">
      <w:pPr>
        <w:keepNext w:val="0"/>
        <w:keepLines w:val="0"/>
        <w:pageBreakBefore w:val="0"/>
        <w:wordWrap/>
        <w:overflowPunct/>
        <w:topLinePunct w:val="0"/>
        <w:bidi w:val="0"/>
        <w:spacing w:before="156" w:beforeLines="50" w:after="156" w:afterLines="50" w:line="360" w:lineRule="auto"/>
        <w:ind w:right="840"/>
        <w:jc w:val="center"/>
        <w:rPr>
          <w:rFonts w:ascii="仿宋_GB2312" w:hAnsi="宋体" w:eastAsia="仿宋_GB2312"/>
          <w:sz w:val="32"/>
          <w:szCs w:val="32"/>
        </w:rPr>
      </w:pPr>
    </w:p>
    <w:p w14:paraId="5FE33322">
      <w:pPr>
        <w:keepNext w:val="0"/>
        <w:keepLines w:val="0"/>
        <w:pageBreakBefore w:val="0"/>
        <w:wordWrap/>
        <w:overflowPunct/>
        <w:topLinePunct w:val="0"/>
        <w:bidi w:val="0"/>
        <w:spacing w:before="156" w:beforeLines="50" w:after="156" w:afterLines="50" w:line="360" w:lineRule="auto"/>
        <w:ind w:right="840" w:firstLine="2240" w:firstLineChars="700"/>
        <w:rPr>
          <w:rFonts w:ascii="仿宋_GB2312" w:hAnsi="宋体" w:eastAsia="仿宋_GB2312"/>
          <w:sz w:val="32"/>
          <w:szCs w:val="32"/>
          <w:u w:val="single"/>
        </w:rPr>
      </w:pPr>
      <w:r>
        <w:rPr>
          <w:rFonts w:hint="eastAsia" w:ascii="仿宋_GB2312" w:hAnsi="宋体" w:eastAsia="仿宋_GB2312"/>
          <w:sz w:val="32"/>
          <w:szCs w:val="32"/>
          <w:lang w:val="en-US" w:eastAsia="zh-CN"/>
        </w:rPr>
        <w:t>供应商</w:t>
      </w:r>
      <w:r>
        <w:rPr>
          <w:rFonts w:hint="eastAsia" w:ascii="仿宋_GB2312" w:hAnsi="宋体" w:eastAsia="仿宋_GB2312"/>
          <w:sz w:val="32"/>
          <w:szCs w:val="32"/>
        </w:rPr>
        <w:t>名称：</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p>
    <w:p w14:paraId="612E01F5">
      <w:pPr>
        <w:keepNext w:val="0"/>
        <w:keepLines w:val="0"/>
        <w:pageBreakBefore w:val="0"/>
        <w:wordWrap/>
        <w:overflowPunct/>
        <w:topLinePunct w:val="0"/>
        <w:bidi w:val="0"/>
        <w:spacing w:before="156" w:beforeLines="50" w:after="156" w:afterLines="50" w:line="360" w:lineRule="auto"/>
        <w:ind w:right="840"/>
        <w:jc w:val="center"/>
        <w:rPr>
          <w:rFonts w:ascii="仿宋_GB2312" w:hAnsi="宋体" w:eastAsia="仿宋_GB2312"/>
          <w:sz w:val="32"/>
          <w:szCs w:val="32"/>
        </w:rPr>
      </w:pPr>
      <w:r>
        <w:rPr>
          <w:rFonts w:hint="eastAsia" w:ascii="仿宋_GB2312" w:hAnsi="宋体" w:eastAsia="仿宋_GB2312"/>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ascii="仿宋_GB2312" w:hAnsi="宋体" w:eastAsia="仿宋_GB2312"/>
          <w:sz w:val="32"/>
          <w:szCs w:val="32"/>
        </w:rPr>
        <w:t xml:space="preserve">  </w:t>
      </w:r>
      <w:r>
        <w:rPr>
          <w:rFonts w:hint="eastAsia" w:ascii="仿宋_GB2312" w:hAnsi="宋体" w:eastAsia="仿宋_GB2312"/>
          <w:sz w:val="32"/>
          <w:szCs w:val="32"/>
        </w:rPr>
        <w:t>日</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期：</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年</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月</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日</w:t>
      </w:r>
    </w:p>
    <w:p w14:paraId="3B181B9A">
      <w:pPr>
        <w:keepNext w:val="0"/>
        <w:keepLines w:val="0"/>
        <w:pageBreakBefore w:val="0"/>
        <w:wordWrap/>
        <w:overflowPunct/>
        <w:topLinePunct w:val="0"/>
        <w:bidi w:val="0"/>
        <w:spacing w:line="360" w:lineRule="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2</w:t>
      </w:r>
    </w:p>
    <w:p w14:paraId="317B1B80">
      <w:pPr>
        <w:keepNext w:val="0"/>
        <w:keepLines w:val="0"/>
        <w:pageBreakBefore w:val="0"/>
        <w:kinsoku/>
        <w:wordWrap/>
        <w:overflowPunct/>
        <w:topLinePunct w:val="0"/>
        <w:autoSpaceDE/>
        <w:autoSpaceDN/>
        <w:bidi w:val="0"/>
        <w:adjustRightInd/>
        <w:snapToGrid/>
        <w:spacing w:line="560" w:lineRule="exact"/>
        <w:ind w:firstLine="880" w:firstLineChars="200"/>
        <w:jc w:val="center"/>
        <w:rPr>
          <w:rFonts w:hint="eastAsia" w:ascii="方正小标宋_GBK" w:hAnsi="方正小标宋_GBK" w:eastAsia="方正小标宋_GBK" w:cs="方正小标宋_GBK"/>
          <w:b/>
          <w:color w:val="auto"/>
          <w:sz w:val="44"/>
          <w:szCs w:val="44"/>
        </w:rPr>
      </w:pPr>
      <w:r>
        <w:rPr>
          <w:rFonts w:hint="eastAsia" w:ascii="方正小标宋_GBK" w:hAnsi="方正小标宋_GBK" w:eastAsia="方正小标宋_GBK" w:cs="方正小标宋_GBK"/>
          <w:kern w:val="2"/>
          <w:sz w:val="44"/>
          <w:szCs w:val="44"/>
          <w:lang w:val="en-US" w:eastAsia="zh-CN" w:bidi="ar-SA"/>
        </w:rPr>
        <w:t>采</w:t>
      </w:r>
      <w:r>
        <w:rPr>
          <w:rFonts w:hint="eastAsia" w:ascii="方正小标宋_GBK" w:hAnsi="方正小标宋_GBK" w:eastAsia="方正小标宋_GBK" w:cs="方正小标宋_GBK"/>
          <w:kern w:val="0"/>
          <w:sz w:val="44"/>
          <w:szCs w:val="44"/>
          <w:lang w:val="en-US" w:eastAsia="zh-CN" w:bidi="ar"/>
        </w:rPr>
        <w:t>购需求及评分标准</w:t>
      </w:r>
    </w:p>
    <w:p w14:paraId="232AA14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一、</w:t>
      </w:r>
      <w:r>
        <w:rPr>
          <w:rFonts w:hint="eastAsia" w:ascii="黑体" w:hAnsi="黑体" w:eastAsia="黑体" w:cs="黑体"/>
          <w:b w:val="0"/>
          <w:bCs/>
          <w:color w:val="auto"/>
          <w:sz w:val="32"/>
          <w:szCs w:val="32"/>
        </w:rPr>
        <w:t>技术要求</w:t>
      </w:r>
    </w:p>
    <w:tbl>
      <w:tblPr>
        <w:tblStyle w:val="6"/>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6596"/>
        <w:gridCol w:w="1188"/>
      </w:tblGrid>
      <w:tr w14:paraId="5817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756" w:type="dxa"/>
            <w:noWrap w:val="0"/>
            <w:vAlign w:val="center"/>
          </w:tcPr>
          <w:p w14:paraId="248426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Times New Roman"/>
                <w:b/>
                <w:bCs/>
                <w:sz w:val="30"/>
                <w:szCs w:val="30"/>
                <w:vertAlign w:val="baseline"/>
                <w:lang w:val="en-US" w:eastAsia="zh-CN"/>
              </w:rPr>
            </w:pPr>
            <w:r>
              <w:rPr>
                <w:rFonts w:hint="default" w:ascii="Times New Roman" w:hAnsi="Times New Roman" w:eastAsia="仿宋_GB2312" w:cs="Times New Roman"/>
                <w:b/>
                <w:bCs/>
                <w:sz w:val="30"/>
                <w:szCs w:val="30"/>
                <w:vertAlign w:val="baseline"/>
                <w:lang w:val="en-US" w:eastAsia="zh-CN"/>
              </w:rPr>
              <w:t>名称</w:t>
            </w:r>
          </w:p>
        </w:tc>
        <w:tc>
          <w:tcPr>
            <w:tcW w:w="6596" w:type="dxa"/>
            <w:noWrap w:val="0"/>
            <w:vAlign w:val="center"/>
          </w:tcPr>
          <w:p w14:paraId="444212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Times New Roman"/>
                <w:b/>
                <w:bCs/>
                <w:sz w:val="30"/>
                <w:szCs w:val="30"/>
                <w:vertAlign w:val="baseline"/>
                <w:lang w:val="en-US" w:eastAsia="zh-CN"/>
              </w:rPr>
            </w:pPr>
            <w:r>
              <w:rPr>
                <w:rFonts w:hint="default" w:ascii="Times New Roman" w:hAnsi="Times New Roman" w:eastAsia="仿宋_GB2312" w:cs="Times New Roman"/>
                <w:b/>
                <w:bCs/>
                <w:sz w:val="30"/>
                <w:szCs w:val="30"/>
                <w:vertAlign w:val="baseline"/>
                <w:lang w:val="en-US" w:eastAsia="zh-CN"/>
              </w:rPr>
              <w:t>产品技术参数</w:t>
            </w:r>
          </w:p>
        </w:tc>
        <w:tc>
          <w:tcPr>
            <w:tcW w:w="1188" w:type="dxa"/>
            <w:noWrap w:val="0"/>
            <w:vAlign w:val="center"/>
          </w:tcPr>
          <w:p w14:paraId="1944AB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Times New Roman"/>
                <w:b/>
                <w:bCs/>
                <w:sz w:val="30"/>
                <w:szCs w:val="30"/>
                <w:vertAlign w:val="baseline"/>
                <w:lang w:val="en-US" w:eastAsia="zh-CN"/>
              </w:rPr>
            </w:pPr>
            <w:r>
              <w:rPr>
                <w:rFonts w:hint="eastAsia" w:ascii="Times New Roman" w:hAnsi="Times New Roman" w:eastAsia="仿宋_GB2312" w:cs="Times New Roman"/>
                <w:b/>
                <w:bCs/>
                <w:sz w:val="30"/>
                <w:szCs w:val="30"/>
                <w:vertAlign w:val="baseline"/>
                <w:lang w:val="en-US" w:eastAsia="zh-CN"/>
              </w:rPr>
              <w:t>数量</w:t>
            </w:r>
          </w:p>
        </w:tc>
      </w:tr>
      <w:tr w14:paraId="6EE9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6" w:type="dxa"/>
            <w:noWrap w:val="0"/>
            <w:vAlign w:val="center"/>
          </w:tcPr>
          <w:p w14:paraId="2E6D9F7D">
            <w:pPr>
              <w:snapToGrid w:val="0"/>
              <w:ind w:left="0" w:leftChars="0" w:right="0" w:rightChars="0" w:firstLine="0" w:firstLineChars="0"/>
              <w:jc w:val="center"/>
              <w:rPr>
                <w:rFonts w:hint="default" w:ascii="Times New Roman" w:hAnsi="Times New Roman" w:eastAsia="宋体" w:cs="Times New Roman"/>
                <w:sz w:val="24"/>
                <w:szCs w:val="32"/>
                <w:vertAlign w:val="baseline"/>
                <w:lang w:val="en-US" w:eastAsia="zh-CN"/>
              </w:rPr>
            </w:pPr>
            <w:r>
              <w:rPr>
                <w:rFonts w:hint="eastAsia" w:ascii="Times New Roman" w:eastAsia="宋体" w:cs="Times New Roman"/>
                <w:sz w:val="28"/>
                <w:szCs w:val="28"/>
                <w:vertAlign w:val="baseline"/>
                <w:lang w:val="en-US" w:eastAsia="zh-CN"/>
              </w:rPr>
              <w:t>篮球架</w:t>
            </w:r>
          </w:p>
        </w:tc>
        <w:tc>
          <w:tcPr>
            <w:tcW w:w="6596" w:type="dxa"/>
            <w:noWrap w:val="0"/>
            <w:vAlign w:val="center"/>
          </w:tcPr>
          <w:p w14:paraId="728F481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1.规格：</w:t>
            </w:r>
            <w:r>
              <w:rPr>
                <w:rFonts w:hint="default" w:ascii="Times New Roman" w:hAnsi="Times New Roman" w:eastAsia="宋体" w:cs="Times New Roman"/>
                <w:sz w:val="28"/>
                <w:szCs w:val="28"/>
              </w:rPr>
              <w:t>底座长（2米）宽（1米）、伸臂2.25米、篮圈高度3.05米</w:t>
            </w:r>
            <w:r>
              <w:rPr>
                <w:rFonts w:hint="default" w:ascii="Times New Roman" w:hAnsi="Times New Roman" w:eastAsia="宋体" w:cs="Times New Roman"/>
                <w:sz w:val="28"/>
                <w:szCs w:val="28"/>
              </w:rPr>
              <w:br w:type="textWrapping"/>
            </w:r>
            <w:r>
              <w:rPr>
                <w:rFonts w:hint="default" w:ascii="Times New Roman" w:hAnsi="Times New Roman" w:eastAsia="宋体" w:cs="Times New Roman"/>
                <w:sz w:val="28"/>
                <w:szCs w:val="28"/>
                <w:lang w:val="en-US" w:eastAsia="zh-CN"/>
              </w:rPr>
              <w:t>2.结构：</w:t>
            </w:r>
            <w:r>
              <w:rPr>
                <w:rFonts w:hint="default" w:ascii="Times New Roman" w:hAnsi="Times New Roman" w:eastAsia="宋体" w:cs="Times New Roman"/>
                <w:sz w:val="28"/>
                <w:szCs w:val="28"/>
              </w:rPr>
              <w:t>由底座、立柱、拉杆、伸臂、玻璃篮板、篮圈和护套组成</w:t>
            </w:r>
          </w:p>
          <w:p w14:paraId="4A8978B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3.底座：</w:t>
            </w:r>
            <w:r>
              <w:rPr>
                <w:rFonts w:hint="default" w:ascii="Times New Roman" w:hAnsi="Times New Roman" w:eastAsia="宋体" w:cs="Times New Roman"/>
                <w:sz w:val="28"/>
                <w:szCs w:val="28"/>
              </w:rPr>
              <w:t>部分</w:t>
            </w:r>
            <w:r>
              <w:rPr>
                <w:rFonts w:hint="default" w:ascii="Times New Roman" w:hAnsi="Times New Roman" w:eastAsia="宋体" w:cs="Times New Roman"/>
                <w:sz w:val="28"/>
                <w:szCs w:val="28"/>
                <w:lang w:val="en-US" w:eastAsia="zh-CN"/>
              </w:rPr>
              <w:t>钢板厚度</w:t>
            </w:r>
            <w:r>
              <w:rPr>
                <w:rFonts w:hint="default" w:ascii="Times New Roman" w:hAnsi="Times New Roman" w:eastAsia="宋体" w:cs="Times New Roman"/>
                <w:sz w:val="28"/>
                <w:szCs w:val="28"/>
              </w:rPr>
              <w:t>≥3mm，关键承重部位</w:t>
            </w:r>
            <w:r>
              <w:rPr>
                <w:rFonts w:hint="default" w:ascii="Times New Roman" w:hAnsi="Times New Roman" w:eastAsia="宋体" w:cs="Times New Roman"/>
                <w:sz w:val="28"/>
                <w:szCs w:val="28"/>
                <w:lang w:val="en-US" w:eastAsia="zh-CN"/>
              </w:rPr>
              <w:t>钢板厚度</w:t>
            </w:r>
            <w:r>
              <w:rPr>
                <w:rFonts w:hint="default" w:ascii="Times New Roman" w:hAnsi="Times New Roman" w:eastAsia="宋体" w:cs="Times New Roman"/>
                <w:sz w:val="28"/>
                <w:szCs w:val="28"/>
              </w:rPr>
              <w:t>≥5mm，</w:t>
            </w:r>
            <w:r>
              <w:rPr>
                <w:rFonts w:hint="default" w:ascii="Times New Roman" w:hAnsi="Times New Roman" w:eastAsia="宋体" w:cs="Times New Roman"/>
                <w:sz w:val="28"/>
                <w:szCs w:val="28"/>
                <w:lang w:val="en-US" w:eastAsia="zh-CN"/>
              </w:rPr>
              <w:t>主要钢结构材质采用Q235B</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单只底座配重箱配重≥5</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0KG</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底座置有PU轮，配有方向操纵杆和轮子升降操纵杆</w:t>
            </w:r>
          </w:p>
          <w:p w14:paraId="1AAD2B5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4.立柱：</w:t>
            </w:r>
            <w:r>
              <w:rPr>
                <w:rFonts w:hint="default" w:ascii="Times New Roman" w:hAnsi="Times New Roman" w:eastAsia="宋体" w:cs="Times New Roman"/>
                <w:sz w:val="28"/>
                <w:szCs w:val="28"/>
              </w:rPr>
              <w:t>承重部位</w:t>
            </w:r>
            <w:r>
              <w:rPr>
                <w:rFonts w:hint="default" w:ascii="Times New Roman" w:hAnsi="Times New Roman" w:eastAsia="宋体" w:cs="Times New Roman"/>
                <w:sz w:val="28"/>
                <w:szCs w:val="28"/>
                <w:lang w:val="en-US" w:eastAsia="zh-CN"/>
              </w:rPr>
              <w:t>钢板厚度</w:t>
            </w:r>
            <w:r>
              <w:rPr>
                <w:rFonts w:hint="default" w:ascii="Times New Roman" w:hAnsi="Times New Roman" w:eastAsia="宋体" w:cs="Times New Roman"/>
                <w:sz w:val="28"/>
                <w:szCs w:val="28"/>
              </w:rPr>
              <w:t>≥10mm、</w:t>
            </w:r>
            <w:r>
              <w:rPr>
                <w:rFonts w:hint="default" w:ascii="Times New Roman" w:hAnsi="Times New Roman" w:eastAsia="宋体" w:cs="Times New Roman"/>
                <w:sz w:val="28"/>
                <w:szCs w:val="28"/>
                <w:lang w:val="en-US" w:eastAsia="zh-CN"/>
              </w:rPr>
              <w:t>主方管规格不小于</w:t>
            </w:r>
            <w:r>
              <w:rPr>
                <w:rFonts w:hint="default" w:ascii="Times New Roman" w:hAnsi="Times New Roman" w:eastAsia="宋体" w:cs="Times New Roman"/>
                <w:sz w:val="28"/>
                <w:szCs w:val="28"/>
              </w:rPr>
              <w:t>150×150×4mm的优质圆角方管</w:t>
            </w:r>
          </w:p>
          <w:p w14:paraId="3D36E6C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5.拉杆：管材规格不小于</w:t>
            </w:r>
            <w:r>
              <w:rPr>
                <w:rFonts w:hint="default" w:ascii="Times New Roman" w:hAnsi="Times New Roman" w:eastAsia="宋体" w:cs="Times New Roman"/>
                <w:sz w:val="28"/>
                <w:szCs w:val="28"/>
              </w:rPr>
              <w:t>φ48×2mm的圆管</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50×40×</w:t>
            </w:r>
            <w:r>
              <w:rPr>
                <w:rFonts w:hint="default" w:ascii="Times New Roman" w:hAnsi="Times New Roman" w:eastAsia="宋体" w:cs="Times New Roman"/>
                <w:sz w:val="28"/>
                <w:szCs w:val="28"/>
                <w:lang w:val="en-US" w:eastAsia="zh-CN"/>
              </w:rPr>
              <w:t>2.5</w:t>
            </w:r>
            <w:r>
              <w:rPr>
                <w:rFonts w:hint="default" w:ascii="Times New Roman" w:hAnsi="Times New Roman" w:eastAsia="宋体" w:cs="Times New Roman"/>
                <w:sz w:val="28"/>
                <w:szCs w:val="28"/>
              </w:rPr>
              <w:t>mm的方管</w:t>
            </w:r>
          </w:p>
          <w:p w14:paraId="0C35B13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6.伸臂：板材厚度</w:t>
            </w:r>
            <w:r>
              <w:rPr>
                <w:rFonts w:hint="default" w:ascii="Times New Roman" w:hAnsi="Times New Roman" w:eastAsia="宋体" w:cs="Times New Roman"/>
                <w:sz w:val="28"/>
                <w:szCs w:val="28"/>
              </w:rPr>
              <w:t>≥3mm</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lang w:val="en-US" w:eastAsia="zh-CN"/>
              </w:rPr>
              <w:t>主要钢结构材质采用Q235B</w:t>
            </w:r>
          </w:p>
          <w:p w14:paraId="10FAC2B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7.篮板：规格</w:t>
            </w:r>
            <w:r>
              <w:rPr>
                <w:rFonts w:hint="default" w:ascii="Times New Roman" w:hAnsi="Times New Roman" w:eastAsia="宋体" w:cs="Times New Roman"/>
                <w:sz w:val="28"/>
                <w:szCs w:val="28"/>
              </w:rPr>
              <w:t>1800×1050×38mm</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按GB/T 9962-</w:t>
            </w:r>
            <w:r>
              <w:rPr>
                <w:rFonts w:hint="default" w:ascii="Times New Roman" w:hAnsi="Times New Roman" w:eastAsia="宋体" w:cs="Times New Roman"/>
                <w:sz w:val="28"/>
                <w:szCs w:val="28"/>
                <w:lang w:val="en-US" w:eastAsia="zh-CN"/>
              </w:rPr>
              <w:t>2019</w:t>
            </w:r>
            <w:r>
              <w:rPr>
                <w:rFonts w:hint="default" w:ascii="Times New Roman" w:hAnsi="Times New Roman" w:eastAsia="宋体" w:cs="Times New Roman"/>
                <w:sz w:val="28"/>
                <w:szCs w:val="28"/>
              </w:rPr>
              <w:t>中规定进行试验，符合国标规定</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篮板框</w:t>
            </w:r>
            <w:r>
              <w:rPr>
                <w:rFonts w:hint="default" w:ascii="Times New Roman" w:hAnsi="Times New Roman" w:eastAsia="宋体" w:cs="Times New Roman"/>
                <w:sz w:val="28"/>
                <w:szCs w:val="28"/>
                <w:lang w:val="en-US" w:eastAsia="zh-CN"/>
              </w:rPr>
              <w:t>铝型材壁厚</w:t>
            </w:r>
            <w:r>
              <w:rPr>
                <w:rFonts w:hint="default" w:ascii="Times New Roman" w:hAnsi="Times New Roman" w:eastAsia="宋体" w:cs="Times New Roman"/>
                <w:sz w:val="28"/>
                <w:szCs w:val="28"/>
              </w:rPr>
              <w:t>≥3mm，篮板</w:t>
            </w:r>
            <w:r>
              <w:rPr>
                <w:rFonts w:hint="default" w:ascii="Times New Roman" w:hAnsi="Times New Roman" w:eastAsia="宋体" w:cs="Times New Roman"/>
                <w:sz w:val="28"/>
                <w:szCs w:val="28"/>
                <w:lang w:val="en-US" w:eastAsia="zh-CN"/>
              </w:rPr>
              <w:t>玻璃厚度</w:t>
            </w:r>
            <w:r>
              <w:rPr>
                <w:rFonts w:hint="default" w:ascii="Times New Roman" w:hAnsi="Times New Roman" w:eastAsia="宋体" w:cs="Times New Roman"/>
                <w:sz w:val="28"/>
                <w:szCs w:val="28"/>
              </w:rPr>
              <w:t>≥12mm</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lang w:val="en-US" w:eastAsia="zh-CN"/>
              </w:rPr>
              <w:t>配套</w:t>
            </w:r>
            <w:r>
              <w:rPr>
                <w:rFonts w:hint="default" w:ascii="Times New Roman" w:hAnsi="Times New Roman" w:eastAsia="宋体" w:cs="Times New Roman"/>
                <w:sz w:val="28"/>
                <w:szCs w:val="28"/>
              </w:rPr>
              <w:t>玻璃篮板护套</w:t>
            </w:r>
          </w:p>
          <w:p w14:paraId="413DA4E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8.篮圈实心圆钢直径</w:t>
            </w:r>
            <w:r>
              <w:rPr>
                <w:rFonts w:hint="default" w:ascii="Times New Roman" w:hAnsi="Times New Roman" w:eastAsia="宋体" w:cs="Times New Roman"/>
                <w:sz w:val="28"/>
                <w:szCs w:val="28"/>
              </w:rPr>
              <w:t>≥φ17mm</w:t>
            </w:r>
          </w:p>
          <w:p w14:paraId="38CE88EA">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9.表面处理：</w:t>
            </w:r>
            <w:r>
              <w:rPr>
                <w:rFonts w:hint="default" w:ascii="Times New Roman" w:hAnsi="Times New Roman" w:eastAsia="宋体" w:cs="Times New Roman"/>
                <w:sz w:val="28"/>
                <w:szCs w:val="28"/>
              </w:rPr>
              <w:t>符合GB19272-2011中5.10的相关规定要求</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符合GB19272-2011中5.9.2的相关规定要求</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pacing w:val="-6"/>
                <w:sz w:val="28"/>
                <w:szCs w:val="28"/>
              </w:rPr>
              <w:t>具有耐酸碱、耐湿热、抗老化、外观美观等优点，能适合潮湿和酸雨环境，涂料均为绿色环保无毒产品</w:t>
            </w:r>
          </w:p>
        </w:tc>
        <w:tc>
          <w:tcPr>
            <w:tcW w:w="1188" w:type="dxa"/>
            <w:noWrap w:val="0"/>
            <w:vAlign w:val="center"/>
          </w:tcPr>
          <w:p w14:paraId="225AE73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sz w:val="24"/>
                <w:szCs w:val="30"/>
                <w:vertAlign w:val="baseline"/>
                <w:lang w:val="en-US" w:eastAsia="zh-CN"/>
              </w:rPr>
            </w:pPr>
            <w:r>
              <w:rPr>
                <w:rFonts w:hint="eastAsia" w:ascii="Times New Roman" w:eastAsia="宋体" w:cs="Times New Roman"/>
                <w:sz w:val="24"/>
                <w:szCs w:val="30"/>
                <w:vertAlign w:val="baseline"/>
                <w:lang w:val="en-US" w:eastAsia="zh-CN"/>
              </w:rPr>
              <w:t>7副</w:t>
            </w:r>
          </w:p>
        </w:tc>
      </w:tr>
      <w:tr w14:paraId="3A7F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6" w:type="dxa"/>
            <w:noWrap w:val="0"/>
            <w:vAlign w:val="center"/>
          </w:tcPr>
          <w:p w14:paraId="2FF255A3">
            <w:pPr>
              <w:snapToGrid w:val="0"/>
              <w:ind w:left="0" w:leftChars="0" w:right="0" w:rightChars="0" w:firstLine="0" w:firstLineChars="0"/>
              <w:jc w:val="center"/>
              <w:rPr>
                <w:rFonts w:hint="eastAsia" w:ascii="Times New Roman" w:eastAsia="宋体" w:cs="Times New Roman"/>
                <w:sz w:val="24"/>
                <w:szCs w:val="32"/>
                <w:vertAlign w:val="baseline"/>
                <w:lang w:val="en-US" w:eastAsia="zh-CN"/>
              </w:rPr>
            </w:pPr>
            <w:r>
              <w:rPr>
                <w:rFonts w:hint="default" w:ascii="Times New Roman" w:eastAsia="宋体" w:cs="Times New Roman"/>
                <w:sz w:val="28"/>
                <w:szCs w:val="28"/>
                <w:vertAlign w:val="baseline"/>
                <w:lang w:val="en-US" w:eastAsia="zh-CN"/>
              </w:rPr>
              <w:t>排球架</w:t>
            </w:r>
          </w:p>
        </w:tc>
        <w:tc>
          <w:tcPr>
            <w:tcW w:w="6596" w:type="dxa"/>
            <w:noWrap w:val="0"/>
            <w:vAlign w:val="center"/>
          </w:tcPr>
          <w:p w14:paraId="0F0F065F">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1.结构：由底座、立柱和排球网组成</w:t>
            </w:r>
          </w:p>
          <w:p w14:paraId="32ADABBC">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2.适用场地：适合两片场地之间尺寸≥4100mm</w:t>
            </w:r>
          </w:p>
          <w:p w14:paraId="0EA55A54">
            <w:pPr>
              <w:snapToGrid w:val="0"/>
              <w:ind w:left="0" w:leftChars="0" w:right="0" w:rightChars="0" w:firstLine="0" w:firstLineChars="0"/>
              <w:jc w:val="left"/>
              <w:rPr>
                <w:rFonts w:hint="default" w:ascii="Times New Roman" w:hAnsi="Times New Roman" w:eastAsia="宋体" w:cs="Times New Roman"/>
                <w:sz w:val="28"/>
                <w:szCs w:val="28"/>
                <w:lang w:val="zh-CN" w:eastAsia="zh-CN"/>
              </w:rPr>
            </w:pPr>
            <w:r>
              <w:rPr>
                <w:rFonts w:hint="default" w:ascii="Times New Roman" w:hAnsi="Times New Roman" w:eastAsia="宋体" w:cs="Times New Roman"/>
                <w:sz w:val="28"/>
                <w:szCs w:val="28"/>
                <w:lang w:val="en-US" w:eastAsia="zh-CN"/>
              </w:rPr>
              <w:t>3.调节高度：</w:t>
            </w:r>
            <w:r>
              <w:rPr>
                <w:rFonts w:hint="default" w:ascii="Times New Roman" w:hAnsi="Times New Roman" w:eastAsia="宋体" w:cs="Times New Roman"/>
                <w:sz w:val="28"/>
                <w:szCs w:val="28"/>
                <w:lang w:val="zh-CN" w:eastAsia="zh-CN"/>
              </w:rPr>
              <w:t>2.43m—2.15m</w:t>
            </w:r>
          </w:p>
          <w:p w14:paraId="0B6C4F98">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4.底座外壳：高密度聚乙烯材料（HDPE）；</w:t>
            </w:r>
            <w:r>
              <w:rPr>
                <w:rFonts w:hint="default" w:ascii="Times New Roman" w:hAnsi="Times New Roman" w:eastAsia="宋体" w:cs="Times New Roman"/>
                <w:sz w:val="28"/>
                <w:szCs w:val="28"/>
                <w:lang w:val="zh-CN" w:eastAsia="zh-CN"/>
              </w:rPr>
              <w:t>老化试验</w:t>
            </w:r>
            <w:r>
              <w:rPr>
                <w:rFonts w:hint="default"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zh-CN" w:eastAsia="zh-CN"/>
              </w:rPr>
              <w:t>3500h，外观颜色变色评级</w:t>
            </w:r>
            <w:r>
              <w:rPr>
                <w:rFonts w:hint="default" w:ascii="Times New Roman" w:hAnsi="Times New Roman" w:eastAsia="宋体" w:cs="Times New Roman"/>
                <w:sz w:val="28"/>
                <w:szCs w:val="28"/>
                <w:lang w:val="en-US" w:eastAsia="zh-CN"/>
              </w:rPr>
              <w:t>≥3；高温＋80℃、低温-55℃下72h，无局部粉化、龟裂、斑点、起泡及明显变形等外观变化</w:t>
            </w:r>
          </w:p>
          <w:p w14:paraId="3496A53E">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5.底座：底座底板材料≥10mm钢板，主要钢结构材质</w:t>
            </w:r>
            <w:r>
              <w:rPr>
                <w:rFonts w:hint="eastAsia" w:ascii="Times New Roman" w:hAnsi="Times New Roman" w:eastAsia="宋体" w:cs="Times New Roman"/>
                <w:sz w:val="28"/>
                <w:szCs w:val="28"/>
                <w:lang w:val="en-US" w:eastAsia="zh-CN"/>
              </w:rPr>
              <w:t>采用</w:t>
            </w:r>
            <w:r>
              <w:rPr>
                <w:rFonts w:hint="default" w:ascii="Times New Roman" w:hAnsi="Times New Roman" w:eastAsia="宋体" w:cs="Times New Roman"/>
                <w:sz w:val="28"/>
                <w:szCs w:val="28"/>
                <w:lang w:val="en-US" w:eastAsia="zh-CN"/>
              </w:rPr>
              <w:t>Q235B；底座方管规格≥140×140×3mm 焊管；底座圆管≥∅102×5.5mm 无缝管</w:t>
            </w:r>
            <w:r>
              <w:rPr>
                <w:rFonts w:hint="default" w:ascii="Times New Roman" w:hAnsi="Times New Roman" w:eastAsia="宋体" w:cs="Times New Roman"/>
                <w:sz w:val="28"/>
                <w:szCs w:val="28"/>
                <w:lang w:val="zh-CN" w:eastAsia="zh-CN"/>
              </w:rPr>
              <w:t>；</w:t>
            </w:r>
            <w:r>
              <w:rPr>
                <w:rFonts w:hint="default" w:ascii="Times New Roman" w:hAnsi="Times New Roman" w:eastAsia="宋体" w:cs="Times New Roman"/>
                <w:sz w:val="28"/>
                <w:szCs w:val="28"/>
                <w:lang w:val="en-US" w:eastAsia="zh-CN"/>
              </w:rPr>
              <w:t>每只底座设5块防震垫,满足底座摩擦力；单只灌装配重≥265kg，满足产品稳定性</w:t>
            </w:r>
          </w:p>
          <w:p w14:paraId="125D5A64">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6.立柱：外立柱</w:t>
            </w:r>
            <w:r>
              <w:rPr>
                <w:rFonts w:hint="eastAsia" w:ascii="Times New Roman" w:eastAsia="宋体" w:cs="Times New Roman"/>
                <w:sz w:val="28"/>
                <w:szCs w:val="28"/>
                <w:lang w:val="en-US" w:eastAsia="zh-CN"/>
              </w:rPr>
              <w:t>管材规格不小于</w:t>
            </w:r>
            <w:r>
              <w:rPr>
                <w:rFonts w:hint="default" w:ascii="Times New Roman" w:hAnsi="Times New Roman" w:eastAsia="宋体" w:cs="Times New Roman"/>
                <w:sz w:val="28"/>
                <w:szCs w:val="28"/>
                <w:lang w:val="en-US" w:eastAsia="zh-CN"/>
              </w:rPr>
              <w:t>φ89×3.75焊</w:t>
            </w:r>
            <w:r>
              <w:rPr>
                <w:rFonts w:hint="eastAsia" w:ascii="Times New Roman" w:eastAsia="宋体" w:cs="Times New Roman"/>
                <w:sz w:val="28"/>
                <w:szCs w:val="28"/>
                <w:lang w:val="en-US" w:eastAsia="zh-CN"/>
              </w:rPr>
              <w:t>接钢管</w:t>
            </w:r>
            <w:r>
              <w:rPr>
                <w:rFonts w:hint="default" w:ascii="Times New Roman" w:hAnsi="Times New Roman" w:eastAsia="宋体" w:cs="Times New Roman"/>
                <w:sz w:val="28"/>
                <w:szCs w:val="28"/>
                <w:lang w:val="en-US" w:eastAsia="zh-CN"/>
              </w:rPr>
              <w:t>；内立柱</w:t>
            </w:r>
            <w:r>
              <w:rPr>
                <w:rFonts w:hint="eastAsia" w:ascii="Times New Roman" w:eastAsia="宋体" w:cs="Times New Roman"/>
                <w:sz w:val="28"/>
                <w:szCs w:val="28"/>
                <w:lang w:val="en-US" w:eastAsia="zh-CN"/>
              </w:rPr>
              <w:t>管材规格不小于</w:t>
            </w:r>
            <w:r>
              <w:rPr>
                <w:rFonts w:hint="default" w:ascii="Times New Roman" w:hAnsi="Times New Roman" w:eastAsia="宋体" w:cs="Times New Roman"/>
                <w:sz w:val="28"/>
                <w:szCs w:val="28"/>
                <w:lang w:val="en-US" w:eastAsia="zh-CN"/>
              </w:rPr>
              <w:t>φ70×3异型钢管；调节装置弹簧助推，手柄锁紧；棘爪式紧线锁紧机构；导套材质：ABS；立柱底部配置缓冲垫；球网被拉紧时，网柱能稳固地与地面保持垂直，立柱轴线对水平面的垂直公差≤1/500，且网柱各部位均不侵入场地内边线的垂直线内；网柱能承受≥600N的外力，球柱不产生永久变形，无倾倒现象</w:t>
            </w:r>
          </w:p>
          <w:p w14:paraId="6523B2A8">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7.表面质量：符合GB19272-2011中5.10的相关规定要求</w:t>
            </w:r>
          </w:p>
          <w:p w14:paraId="37E8F7EF">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8.环保要求：符合GB19272-2011中5.9.2的相关规定要求</w:t>
            </w:r>
          </w:p>
        </w:tc>
        <w:tc>
          <w:tcPr>
            <w:tcW w:w="1188" w:type="dxa"/>
            <w:noWrap w:val="0"/>
            <w:vAlign w:val="center"/>
          </w:tcPr>
          <w:p w14:paraId="4050898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sz w:val="24"/>
                <w:szCs w:val="30"/>
                <w:vertAlign w:val="baseline"/>
                <w:lang w:val="en-US" w:eastAsia="zh-CN"/>
              </w:rPr>
            </w:pPr>
            <w:r>
              <w:rPr>
                <w:rFonts w:hint="eastAsia" w:ascii="Times New Roman" w:eastAsia="宋体" w:cs="Times New Roman"/>
                <w:sz w:val="24"/>
                <w:szCs w:val="30"/>
                <w:vertAlign w:val="baseline"/>
                <w:lang w:val="en-US" w:eastAsia="zh-CN"/>
              </w:rPr>
              <w:t>7副</w:t>
            </w:r>
          </w:p>
        </w:tc>
      </w:tr>
      <w:tr w14:paraId="7BB2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6" w:type="dxa"/>
            <w:noWrap w:val="0"/>
            <w:vAlign w:val="center"/>
          </w:tcPr>
          <w:p w14:paraId="21A1FC84">
            <w:pPr>
              <w:snapToGrid w:val="0"/>
              <w:ind w:left="0" w:leftChars="0" w:right="0" w:rightChars="0" w:firstLine="0" w:firstLineChars="0"/>
              <w:jc w:val="center"/>
              <w:rPr>
                <w:rFonts w:hint="default" w:ascii="Times New Roman" w:eastAsia="宋体" w:cs="Times New Roman"/>
                <w:sz w:val="24"/>
                <w:szCs w:val="32"/>
                <w:vertAlign w:val="baseline"/>
                <w:lang w:val="en-US" w:eastAsia="zh-CN"/>
              </w:rPr>
            </w:pPr>
            <w:r>
              <w:rPr>
                <w:rFonts w:hint="default" w:ascii="Times New Roman" w:eastAsia="宋体" w:cs="Times New Roman"/>
                <w:sz w:val="28"/>
                <w:szCs w:val="28"/>
                <w:vertAlign w:val="baseline"/>
                <w:lang w:val="en-US" w:eastAsia="zh-CN"/>
              </w:rPr>
              <w:t>气排球架</w:t>
            </w:r>
          </w:p>
        </w:tc>
        <w:tc>
          <w:tcPr>
            <w:tcW w:w="6596" w:type="dxa"/>
            <w:noWrap w:val="0"/>
            <w:vAlign w:val="center"/>
          </w:tcPr>
          <w:p w14:paraId="4AA94D6E">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1.结构：由底座、立柱和</w:t>
            </w:r>
            <w:r>
              <w:rPr>
                <w:rFonts w:hint="eastAsia" w:ascii="Times New Roman" w:eastAsia="宋体" w:cs="Times New Roman"/>
                <w:sz w:val="28"/>
                <w:szCs w:val="28"/>
                <w:lang w:val="en-US" w:eastAsia="zh-CN"/>
              </w:rPr>
              <w:t>气</w:t>
            </w:r>
            <w:r>
              <w:rPr>
                <w:rFonts w:hint="default" w:ascii="Times New Roman" w:hAnsi="Times New Roman" w:eastAsia="宋体" w:cs="Times New Roman"/>
                <w:sz w:val="28"/>
                <w:szCs w:val="28"/>
                <w:lang w:val="en-US" w:eastAsia="zh-CN"/>
              </w:rPr>
              <w:t>排球网组成</w:t>
            </w:r>
          </w:p>
          <w:p w14:paraId="69F94BFA">
            <w:pPr>
              <w:snapToGrid w:val="0"/>
              <w:ind w:left="0" w:leftChars="0" w:right="0" w:rightChars="0" w:firstLine="0" w:firstLineChars="0"/>
              <w:jc w:val="left"/>
              <w:rPr>
                <w:rFonts w:hint="default" w:ascii="Times New Roman" w:hAnsi="Times New Roman" w:eastAsia="宋体" w:cs="Times New Roman"/>
                <w:sz w:val="28"/>
                <w:szCs w:val="28"/>
                <w:lang w:val="zh-CN" w:eastAsia="zh-CN"/>
              </w:rPr>
            </w:pPr>
            <w:r>
              <w:rPr>
                <w:rFonts w:hint="eastAsia" w:ascii="Times New Roman" w:eastAsia="宋体" w:cs="Times New Roman"/>
                <w:sz w:val="28"/>
                <w:szCs w:val="28"/>
                <w:lang w:val="en-US" w:eastAsia="zh-CN"/>
              </w:rPr>
              <w:t>2</w:t>
            </w:r>
            <w:r>
              <w:rPr>
                <w:rFonts w:hint="default" w:ascii="Times New Roman" w:hAnsi="Times New Roman" w:eastAsia="宋体" w:cs="Times New Roman"/>
                <w:sz w:val="28"/>
                <w:szCs w:val="28"/>
                <w:lang w:val="en-US" w:eastAsia="zh-CN"/>
              </w:rPr>
              <w:t>.调节高度：</w:t>
            </w:r>
            <w:r>
              <w:rPr>
                <w:rFonts w:hint="eastAsia" w:ascii="Times New Roman" w:eastAsia="宋体"/>
                <w:color w:val="000000"/>
                <w:kern w:val="0"/>
                <w:sz w:val="28"/>
                <w:szCs w:val="28"/>
                <w:lang w:val="zh-CN"/>
              </w:rPr>
              <w:t>网高调节范围：1800-2200mm</w:t>
            </w:r>
          </w:p>
          <w:p w14:paraId="79F481C9">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eastAsia" w:asci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.底座外壳：高密度聚乙烯材料（HDPE）；</w:t>
            </w:r>
            <w:r>
              <w:rPr>
                <w:rFonts w:hint="default" w:ascii="Times New Roman" w:hAnsi="Times New Roman" w:eastAsia="宋体" w:cs="Times New Roman"/>
                <w:sz w:val="28"/>
                <w:szCs w:val="28"/>
                <w:lang w:val="zh-CN" w:eastAsia="zh-CN"/>
              </w:rPr>
              <w:t>老化试验</w:t>
            </w:r>
            <w:r>
              <w:rPr>
                <w:rFonts w:hint="default"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zh-CN" w:eastAsia="zh-CN"/>
              </w:rPr>
              <w:t>3500h，外观颜色变色评级</w:t>
            </w:r>
            <w:r>
              <w:rPr>
                <w:rFonts w:hint="default" w:ascii="Times New Roman" w:hAnsi="Times New Roman" w:eastAsia="宋体" w:cs="Times New Roman"/>
                <w:sz w:val="28"/>
                <w:szCs w:val="28"/>
                <w:lang w:val="en-US" w:eastAsia="zh-CN"/>
              </w:rPr>
              <w:t>≥3；高温＋80℃、低温-55℃下72h，无局部粉化、龟裂、斑点、起泡及明显变形等外观变化</w:t>
            </w:r>
          </w:p>
          <w:p w14:paraId="0CE3BD67">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eastAsia" w:ascii="Times New Roman" w:eastAsia="宋体" w:cs="Times New Roman"/>
                <w:sz w:val="28"/>
                <w:szCs w:val="28"/>
                <w:lang w:val="en-US" w:eastAsia="zh-CN"/>
              </w:rPr>
              <w:t>4</w:t>
            </w:r>
            <w:r>
              <w:rPr>
                <w:rFonts w:hint="default" w:ascii="Times New Roman" w:hAnsi="Times New Roman" w:eastAsia="宋体" w:cs="Times New Roman"/>
                <w:sz w:val="28"/>
                <w:szCs w:val="28"/>
                <w:lang w:val="en-US" w:eastAsia="zh-CN"/>
              </w:rPr>
              <w:t>.底座：底座底板材料≥10mm钢板，主要钢结构材质</w:t>
            </w:r>
            <w:r>
              <w:rPr>
                <w:rFonts w:hint="eastAsia" w:ascii="Times New Roman" w:hAnsi="Times New Roman" w:eastAsia="宋体" w:cs="Times New Roman"/>
                <w:sz w:val="28"/>
                <w:szCs w:val="28"/>
                <w:lang w:val="en-US" w:eastAsia="zh-CN"/>
              </w:rPr>
              <w:t>采用</w:t>
            </w:r>
            <w:r>
              <w:rPr>
                <w:rFonts w:hint="default" w:ascii="Times New Roman" w:hAnsi="Times New Roman" w:eastAsia="宋体" w:cs="Times New Roman"/>
                <w:sz w:val="28"/>
                <w:szCs w:val="28"/>
                <w:lang w:val="en-US" w:eastAsia="zh-CN"/>
              </w:rPr>
              <w:t>Q235B；底座方管规格≥140×140×3mm 焊管；底座圆管≥∅102×5.5mm 无缝管</w:t>
            </w:r>
            <w:r>
              <w:rPr>
                <w:rFonts w:hint="default" w:ascii="Times New Roman" w:hAnsi="Times New Roman" w:eastAsia="宋体" w:cs="Times New Roman"/>
                <w:sz w:val="28"/>
                <w:szCs w:val="28"/>
                <w:lang w:val="zh-CN" w:eastAsia="zh-CN"/>
              </w:rPr>
              <w:t>；</w:t>
            </w:r>
            <w:r>
              <w:rPr>
                <w:rFonts w:hint="default" w:ascii="Times New Roman" w:hAnsi="Times New Roman" w:eastAsia="宋体" w:cs="Times New Roman"/>
                <w:sz w:val="28"/>
                <w:szCs w:val="28"/>
                <w:lang w:val="en-US" w:eastAsia="zh-CN"/>
              </w:rPr>
              <w:t>单</w:t>
            </w:r>
            <w:r>
              <w:rPr>
                <w:rFonts w:hint="eastAsia" w:ascii="Times New Roman" w:hAnsi="Times New Roman" w:cs="Times New Roman"/>
                <w:sz w:val="28"/>
                <w:szCs w:val="28"/>
                <w:lang w:val="en-US" w:eastAsia="zh-CN"/>
              </w:rPr>
              <w:t>只</w:t>
            </w:r>
            <w:r>
              <w:rPr>
                <w:rFonts w:hint="default" w:ascii="Times New Roman" w:hAnsi="Times New Roman" w:eastAsia="宋体" w:cs="Times New Roman"/>
                <w:sz w:val="28"/>
                <w:szCs w:val="28"/>
                <w:lang w:val="en-US" w:eastAsia="zh-CN"/>
              </w:rPr>
              <w:t>灌装配重≥265kg，满足产品稳定性</w:t>
            </w:r>
          </w:p>
          <w:p w14:paraId="178A528E">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eastAsia" w:ascii="Times New Roman" w:eastAsia="宋体" w:cs="Times New Roman"/>
                <w:sz w:val="28"/>
                <w:szCs w:val="28"/>
                <w:lang w:val="en-US" w:eastAsia="zh-CN"/>
              </w:rPr>
              <w:t>5</w:t>
            </w:r>
            <w:r>
              <w:rPr>
                <w:rFonts w:hint="default" w:ascii="Times New Roman" w:hAnsi="Times New Roman" w:eastAsia="宋体" w:cs="Times New Roman"/>
                <w:sz w:val="28"/>
                <w:szCs w:val="28"/>
                <w:lang w:val="en-US" w:eastAsia="zh-CN"/>
              </w:rPr>
              <w:t>.立柱：外立柱</w:t>
            </w:r>
            <w:r>
              <w:rPr>
                <w:rFonts w:hint="eastAsia" w:ascii="Times New Roman" w:eastAsia="宋体" w:cs="Times New Roman"/>
                <w:sz w:val="28"/>
                <w:szCs w:val="28"/>
                <w:lang w:val="en-US" w:eastAsia="zh-CN"/>
              </w:rPr>
              <w:t>管材规格不小于</w:t>
            </w:r>
            <w:r>
              <w:rPr>
                <w:rFonts w:hint="default" w:ascii="Times New Roman" w:hAnsi="Times New Roman" w:eastAsia="宋体" w:cs="Times New Roman"/>
                <w:sz w:val="28"/>
                <w:szCs w:val="28"/>
                <w:lang w:val="en-US" w:eastAsia="zh-CN"/>
              </w:rPr>
              <w:t>φ89×3.75焊</w:t>
            </w:r>
            <w:r>
              <w:rPr>
                <w:rFonts w:hint="eastAsia" w:ascii="Times New Roman" w:eastAsia="宋体" w:cs="Times New Roman"/>
                <w:sz w:val="28"/>
                <w:szCs w:val="28"/>
                <w:lang w:val="en-US" w:eastAsia="zh-CN"/>
              </w:rPr>
              <w:t>接钢管</w:t>
            </w:r>
            <w:r>
              <w:rPr>
                <w:rFonts w:hint="default" w:ascii="Times New Roman" w:hAnsi="Times New Roman" w:eastAsia="宋体" w:cs="Times New Roman"/>
                <w:sz w:val="28"/>
                <w:szCs w:val="28"/>
                <w:lang w:val="en-US" w:eastAsia="zh-CN"/>
              </w:rPr>
              <w:t>；内立柱</w:t>
            </w:r>
            <w:r>
              <w:rPr>
                <w:rFonts w:hint="eastAsia" w:ascii="Times New Roman" w:eastAsia="宋体" w:cs="Times New Roman"/>
                <w:sz w:val="28"/>
                <w:szCs w:val="28"/>
                <w:lang w:val="en-US" w:eastAsia="zh-CN"/>
              </w:rPr>
              <w:t>管材规格不小于</w:t>
            </w:r>
            <w:r>
              <w:rPr>
                <w:rFonts w:hint="default" w:ascii="Times New Roman" w:hAnsi="Times New Roman" w:eastAsia="宋体" w:cs="Times New Roman"/>
                <w:sz w:val="28"/>
                <w:szCs w:val="28"/>
                <w:lang w:val="en-US" w:eastAsia="zh-CN"/>
              </w:rPr>
              <w:t>φ70×3异型钢管；调节装置弹簧助推，手柄锁紧；棘爪式紧线锁紧机构；导套材质：ABS；立柱底部配置缓冲垫；球网被拉紧时，网柱能稳固地与地面保持垂直，立柱轴线对水平面的垂直公差≤1/500，且网柱各部位均不侵入场地内边线的垂直线内；网柱能承受≥600N的外力，球柱不产生永久变形，无倾倒现象</w:t>
            </w:r>
          </w:p>
          <w:p w14:paraId="669669E8">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eastAsia" w:ascii="Times New Roman" w:eastAsia="宋体" w:cs="Times New Roman"/>
                <w:sz w:val="28"/>
                <w:szCs w:val="28"/>
                <w:lang w:val="en-US" w:eastAsia="zh-CN"/>
              </w:rPr>
              <w:t>6</w:t>
            </w:r>
            <w:r>
              <w:rPr>
                <w:rFonts w:hint="default" w:ascii="Times New Roman" w:hAnsi="Times New Roman" w:eastAsia="宋体" w:cs="Times New Roman"/>
                <w:sz w:val="28"/>
                <w:szCs w:val="28"/>
                <w:lang w:val="en-US" w:eastAsia="zh-CN"/>
              </w:rPr>
              <w:t>.表面质量：符合GB19272-2011中5.10的相关规定要求</w:t>
            </w:r>
          </w:p>
          <w:p w14:paraId="35FCFB45">
            <w:pPr>
              <w:snapToGrid w:val="0"/>
              <w:ind w:left="0" w:leftChars="0" w:right="0" w:rightChars="0" w:firstLine="0" w:firstLineChars="0"/>
              <w:jc w:val="left"/>
              <w:rPr>
                <w:rFonts w:hint="default" w:ascii="Times New Roman" w:hAnsi="Times New Roman" w:eastAsia="宋体" w:cs="Times New Roman"/>
                <w:sz w:val="28"/>
                <w:szCs w:val="28"/>
                <w:vertAlign w:val="baseline"/>
                <w:lang w:val="en-US" w:eastAsia="zh-CN"/>
              </w:rPr>
            </w:pPr>
            <w:r>
              <w:rPr>
                <w:rFonts w:hint="eastAsia" w:ascii="Times New Roman" w:eastAsia="宋体" w:cs="Times New Roman"/>
                <w:sz w:val="28"/>
                <w:szCs w:val="28"/>
                <w:lang w:val="en-US" w:eastAsia="zh-CN"/>
              </w:rPr>
              <w:t>7</w:t>
            </w:r>
            <w:r>
              <w:rPr>
                <w:rFonts w:hint="default" w:ascii="Times New Roman" w:hAnsi="Times New Roman" w:eastAsia="宋体" w:cs="Times New Roman"/>
                <w:sz w:val="28"/>
                <w:szCs w:val="28"/>
                <w:lang w:val="en-US" w:eastAsia="zh-CN"/>
              </w:rPr>
              <w:t>.环保要求：符合GB19272-2011中5.9.2的相关规定要求</w:t>
            </w:r>
          </w:p>
        </w:tc>
        <w:tc>
          <w:tcPr>
            <w:tcW w:w="1188" w:type="dxa"/>
            <w:noWrap w:val="0"/>
            <w:vAlign w:val="center"/>
          </w:tcPr>
          <w:p w14:paraId="44C0AE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sz w:val="24"/>
                <w:szCs w:val="30"/>
                <w:vertAlign w:val="baseline"/>
                <w:lang w:val="en-US" w:eastAsia="zh-CN"/>
              </w:rPr>
            </w:pPr>
            <w:r>
              <w:rPr>
                <w:rFonts w:hint="eastAsia" w:ascii="Times New Roman" w:eastAsia="宋体" w:cs="Times New Roman"/>
                <w:sz w:val="24"/>
                <w:szCs w:val="30"/>
                <w:vertAlign w:val="baseline"/>
                <w:lang w:val="en-US" w:eastAsia="zh-CN"/>
              </w:rPr>
              <w:t>2副</w:t>
            </w:r>
          </w:p>
        </w:tc>
      </w:tr>
      <w:tr w14:paraId="11EE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6" w:type="dxa"/>
            <w:noWrap w:val="0"/>
            <w:vAlign w:val="center"/>
          </w:tcPr>
          <w:p w14:paraId="75AA96E3">
            <w:pPr>
              <w:snapToGrid w:val="0"/>
              <w:ind w:left="0" w:leftChars="0" w:right="0" w:rightChars="0" w:firstLine="0" w:firstLineChars="0"/>
              <w:jc w:val="center"/>
              <w:rPr>
                <w:rFonts w:hint="default" w:ascii="Times New Roman" w:eastAsia="宋体" w:cs="Times New Roman"/>
                <w:sz w:val="24"/>
                <w:szCs w:val="32"/>
                <w:vertAlign w:val="baseline"/>
                <w:lang w:val="en-US" w:eastAsia="zh-CN"/>
              </w:rPr>
            </w:pPr>
            <w:r>
              <w:rPr>
                <w:rFonts w:hint="default" w:ascii="Times New Roman" w:eastAsia="宋体" w:cs="Times New Roman"/>
                <w:sz w:val="28"/>
                <w:szCs w:val="28"/>
                <w:vertAlign w:val="baseline"/>
                <w:lang w:val="en-US" w:eastAsia="zh-CN"/>
              </w:rPr>
              <w:t>羽毛球架</w:t>
            </w:r>
          </w:p>
        </w:tc>
        <w:tc>
          <w:tcPr>
            <w:tcW w:w="6596" w:type="dxa"/>
            <w:noWrap w:val="0"/>
            <w:vAlign w:val="center"/>
          </w:tcPr>
          <w:p w14:paraId="34117C1E">
            <w:pPr>
              <w:numPr>
                <w:ilvl w:val="0"/>
                <w:numId w:val="1"/>
              </w:numPr>
              <w:snapToGrid w:val="0"/>
              <w:ind w:left="0" w:leftChars="0" w:right="0" w:rightChars="0" w:firstLine="0" w:firstLineChars="0"/>
              <w:jc w:val="lef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结构：</w:t>
            </w:r>
            <w:r>
              <w:rPr>
                <w:rFonts w:hint="default" w:ascii="Times New Roman" w:hAnsi="Times New Roman" w:eastAsia="宋体" w:cs="Times New Roman"/>
                <w:sz w:val="28"/>
                <w:szCs w:val="28"/>
              </w:rPr>
              <w:t>由底座、立柱、锁绳装置、高度微调装置和羽毛球网组成</w:t>
            </w:r>
          </w:p>
          <w:p w14:paraId="2387A17C">
            <w:pPr>
              <w:numPr>
                <w:ilvl w:val="0"/>
                <w:numId w:val="0"/>
              </w:num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2.适用场地：</w:t>
            </w:r>
            <w:r>
              <w:rPr>
                <w:rFonts w:hint="default" w:ascii="Times New Roman" w:hAnsi="Times New Roman" w:eastAsia="宋体" w:cs="Times New Roman"/>
                <w:sz w:val="28"/>
                <w:szCs w:val="28"/>
              </w:rPr>
              <w:t>适合两片场地之间尺寸≥1200mm</w:t>
            </w:r>
          </w:p>
          <w:p w14:paraId="46414E76">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3.底座外壳：高密度聚乙烯材料（HDPE）；</w:t>
            </w:r>
            <w:r>
              <w:rPr>
                <w:rFonts w:hint="default" w:ascii="Times New Roman" w:hAnsi="Times New Roman" w:eastAsia="宋体" w:cs="Times New Roman"/>
                <w:sz w:val="28"/>
                <w:szCs w:val="28"/>
                <w:lang w:val="zh-CN" w:eastAsia="zh-CN"/>
              </w:rPr>
              <w:t>老化试验</w:t>
            </w:r>
            <w:r>
              <w:rPr>
                <w:rFonts w:hint="default"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zh-CN" w:eastAsia="zh-CN"/>
              </w:rPr>
              <w:t>3500h，外观颜色变色评级</w:t>
            </w:r>
            <w:r>
              <w:rPr>
                <w:rFonts w:hint="default" w:ascii="Times New Roman" w:hAnsi="Times New Roman" w:eastAsia="宋体" w:cs="Times New Roman"/>
                <w:sz w:val="28"/>
                <w:szCs w:val="28"/>
                <w:lang w:val="en-US" w:eastAsia="zh-CN"/>
              </w:rPr>
              <w:t>≥3；高温＋80℃、低温-55℃下72h，无局部粉化、龟裂、斑点、起泡及明显变形等外观变化</w:t>
            </w:r>
          </w:p>
          <w:p w14:paraId="1B4D4AA2">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4.底座：底座铁板材料≥10mm，主要钢结构材质</w:t>
            </w:r>
            <w:r>
              <w:rPr>
                <w:rFonts w:hint="eastAsia" w:ascii="Times New Roman" w:hAnsi="Times New Roman" w:eastAsia="宋体" w:cs="Times New Roman"/>
                <w:sz w:val="28"/>
                <w:szCs w:val="28"/>
                <w:lang w:val="en-US" w:eastAsia="zh-CN"/>
              </w:rPr>
              <w:t>采用</w:t>
            </w:r>
            <w:r>
              <w:rPr>
                <w:rFonts w:hint="default" w:ascii="Times New Roman" w:hAnsi="Times New Roman" w:eastAsia="宋体" w:cs="Times New Roman"/>
                <w:sz w:val="28"/>
                <w:szCs w:val="28"/>
                <w:lang w:val="en-US" w:eastAsia="zh-CN"/>
              </w:rPr>
              <w:t>Q235B；走轮φ75低摩擦软性宽幅PU轮；单只配重≥85kg，满足产品稳定性要求</w:t>
            </w:r>
          </w:p>
          <w:p w14:paraId="57EF420F">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5.立柱：总高度1550mm；管材规格不小于φ40×5mm无缝钢管；球网被拉紧时，网柱能稳固地与地面保持垂直，立柱轴线对水平面的垂直公差≤1/500，且网柱各部位均不侵入场地内</w:t>
            </w:r>
            <w:r>
              <w:rPr>
                <w:rFonts w:hint="default" w:ascii="Times New Roman" w:hAnsi="Times New Roman" w:eastAsia="宋体" w:cs="Times New Roman"/>
                <w:sz w:val="28"/>
                <w:szCs w:val="28"/>
              </w:rPr>
              <w:t>边线的垂直线内</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网柱能承受≥200N的外力，球柱不产生永久变形，无倾倒现象</w:t>
            </w:r>
          </w:p>
          <w:p w14:paraId="1041DE75">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6.表面质量：</w:t>
            </w:r>
            <w:r>
              <w:rPr>
                <w:rFonts w:hint="default" w:ascii="Times New Roman" w:hAnsi="Times New Roman" w:eastAsia="宋体" w:cs="Times New Roman"/>
                <w:sz w:val="28"/>
                <w:szCs w:val="28"/>
              </w:rPr>
              <w:t>符合GB19272-2011中5.10的相关规定要求</w:t>
            </w:r>
          </w:p>
          <w:p w14:paraId="1186BF2F">
            <w:pPr>
              <w:snapToGrid w:val="0"/>
              <w:jc w:val="left"/>
              <w:rPr>
                <w:rFonts w:hint="default" w:ascii="Times New Roman" w:hAnsi="Times New Roman" w:eastAsia="宋体" w:cs="Times New Roman"/>
                <w:sz w:val="28"/>
                <w:szCs w:val="28"/>
                <w:vertAlign w:val="baseline"/>
                <w:lang w:val="en-US" w:eastAsia="zh-CN"/>
              </w:rPr>
            </w:pPr>
            <w:r>
              <w:rPr>
                <w:rFonts w:hint="default" w:ascii="Times New Roman" w:hAnsi="Times New Roman" w:eastAsia="宋体" w:cs="Times New Roman"/>
                <w:sz w:val="28"/>
                <w:szCs w:val="28"/>
                <w:lang w:val="en-US" w:eastAsia="zh-CN"/>
              </w:rPr>
              <w:t>7.环保要求：</w:t>
            </w:r>
            <w:r>
              <w:rPr>
                <w:rFonts w:hint="default" w:ascii="Times New Roman" w:hAnsi="Times New Roman" w:eastAsia="宋体" w:cs="Times New Roman"/>
                <w:sz w:val="28"/>
                <w:szCs w:val="28"/>
              </w:rPr>
              <w:t>符合GB19272-2011中5.9.2的相关规定要求</w:t>
            </w:r>
          </w:p>
        </w:tc>
        <w:tc>
          <w:tcPr>
            <w:tcW w:w="1188" w:type="dxa"/>
            <w:noWrap w:val="0"/>
            <w:vAlign w:val="center"/>
          </w:tcPr>
          <w:p w14:paraId="1FF73E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sz w:val="24"/>
                <w:szCs w:val="30"/>
                <w:vertAlign w:val="baseline"/>
                <w:lang w:val="en-US" w:eastAsia="zh-CN"/>
              </w:rPr>
            </w:pPr>
            <w:r>
              <w:rPr>
                <w:rFonts w:hint="eastAsia" w:ascii="Times New Roman" w:eastAsia="宋体" w:cs="Times New Roman"/>
                <w:sz w:val="24"/>
                <w:szCs w:val="30"/>
                <w:vertAlign w:val="baseline"/>
                <w:lang w:val="en-US" w:eastAsia="zh-CN"/>
              </w:rPr>
              <w:t>2副</w:t>
            </w:r>
          </w:p>
        </w:tc>
      </w:tr>
      <w:tr w14:paraId="02E7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6" w:type="dxa"/>
            <w:noWrap w:val="0"/>
            <w:vAlign w:val="center"/>
          </w:tcPr>
          <w:p w14:paraId="701A8C00">
            <w:pPr>
              <w:snapToGrid w:val="0"/>
              <w:ind w:left="0" w:leftChars="0" w:right="0" w:rightChars="0" w:firstLine="0" w:firstLineChars="0"/>
              <w:jc w:val="center"/>
              <w:rPr>
                <w:rFonts w:hint="default" w:ascii="Times New Roman" w:eastAsia="宋体" w:cs="Times New Roman"/>
                <w:sz w:val="24"/>
                <w:szCs w:val="32"/>
                <w:vertAlign w:val="baseline"/>
                <w:lang w:val="en-US" w:eastAsia="zh-CN"/>
              </w:rPr>
            </w:pPr>
            <w:r>
              <w:rPr>
                <w:rFonts w:hint="default" w:ascii="Times New Roman" w:eastAsia="宋体" w:cs="Times New Roman"/>
                <w:sz w:val="28"/>
                <w:szCs w:val="28"/>
                <w:vertAlign w:val="baseline"/>
                <w:lang w:val="en-US" w:eastAsia="zh-CN"/>
              </w:rPr>
              <w:t>单双杠区域地垫</w:t>
            </w:r>
          </w:p>
        </w:tc>
        <w:tc>
          <w:tcPr>
            <w:tcW w:w="6596" w:type="dxa"/>
            <w:noWrap w:val="0"/>
            <w:vAlign w:val="center"/>
          </w:tcPr>
          <w:p w14:paraId="0AFF9B8C">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1.规格：500*500mm</w:t>
            </w:r>
            <w:r>
              <w:rPr>
                <w:rFonts w:hint="eastAsia" w:ascii="Times New Roman" w:eastAsia="宋体" w:cs="Times New Roman"/>
                <w:sz w:val="28"/>
                <w:szCs w:val="28"/>
                <w:lang w:val="en-US" w:eastAsia="zh-CN"/>
              </w:rPr>
              <w:t>，厚度</w:t>
            </w:r>
            <w:r>
              <w:rPr>
                <w:rFonts w:hint="default" w:ascii="Times New Roman" w:hAnsi="Times New Roman" w:eastAsia="宋体" w:cs="Times New Roman"/>
                <w:sz w:val="28"/>
                <w:szCs w:val="28"/>
                <w:lang w:val="en-US" w:eastAsia="zh-CN"/>
              </w:rPr>
              <w:t xml:space="preserve">≥20mm </w:t>
            </w:r>
          </w:p>
          <w:p w14:paraId="190E17D5">
            <w:pPr>
              <w:snapToGrid w:val="0"/>
              <w:ind w:left="0" w:leftChars="0" w:right="0" w:rightChars="0" w:firstLine="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2.环保要求:</w:t>
            </w:r>
            <w:r>
              <w:rPr>
                <w:rFonts w:hint="eastAsia" w:ascii="Times New Roman" w:eastAsia="宋体" w:cs="Times New Roman"/>
                <w:sz w:val="28"/>
                <w:szCs w:val="28"/>
                <w:lang w:val="en-US" w:eastAsia="zh-CN"/>
              </w:rPr>
              <w:t>依据</w:t>
            </w:r>
            <w:r>
              <w:rPr>
                <w:rFonts w:hint="default" w:ascii="Times New Roman" w:hAnsi="Times New Roman" w:eastAsia="宋体" w:cs="Times New Roman"/>
                <w:sz w:val="28"/>
                <w:szCs w:val="28"/>
                <w:lang w:val="en-US" w:eastAsia="zh-CN"/>
              </w:rPr>
              <w:t>GB36246-2018《中小学生合成材料面层运动场地》，游离二苯基甲烷二异氰酸酯（MDI)（g/kg）≤0.5；短链氯化石蜡（g/kg）≤0.5；</w:t>
            </w:r>
          </w:p>
          <w:p w14:paraId="6104071B">
            <w:pPr>
              <w:snapToGrid w:val="0"/>
              <w:ind w:left="0" w:leftChars="0" w:right="0" w:rightChars="0" w:firstLine="0" w:firstLineChars="0"/>
              <w:jc w:val="left"/>
              <w:rPr>
                <w:rFonts w:hint="default" w:ascii="Times New Roman" w:hAnsi="Times New Roman" w:eastAsia="宋体" w:cs="Times New Roman"/>
                <w:sz w:val="24"/>
                <w:szCs w:val="32"/>
                <w:vertAlign w:val="baseline"/>
                <w:lang w:val="en-US" w:eastAsia="zh-CN"/>
              </w:rPr>
            </w:pPr>
            <w:r>
              <w:rPr>
                <w:rFonts w:hint="eastAsia" w:ascii="Times New Roman" w:eastAsia="宋体" w:cs="Times New Roman"/>
                <w:sz w:val="28"/>
                <w:szCs w:val="28"/>
                <w:lang w:val="en-US" w:eastAsia="zh-CN"/>
              </w:rPr>
              <w:t>3依据</w:t>
            </w:r>
            <w:r>
              <w:rPr>
                <w:rFonts w:hint="default" w:ascii="Times New Roman" w:hAnsi="Times New Roman" w:eastAsia="宋体" w:cs="Times New Roman"/>
                <w:sz w:val="28"/>
                <w:szCs w:val="28"/>
                <w:lang w:val="en-US" w:eastAsia="zh-CN"/>
              </w:rPr>
              <w:t>GB36246-2018《中小学生合成材料面层运动场地》，硬度/Shore A≥60；拉伸强度/MPa≥1.0；拉断伸长率%≥100；回弹性≥50；阻燃性等级≥B1；撕裂强度/kn/m≥5kn/m；抗滑值（20°）/BPN80~110；无机填料含量≤50；有害物质释放量【mg/(㎡·h）】甲醛≤0.1</w:t>
            </w:r>
          </w:p>
        </w:tc>
        <w:tc>
          <w:tcPr>
            <w:tcW w:w="1188" w:type="dxa"/>
            <w:noWrap w:val="0"/>
            <w:vAlign w:val="center"/>
          </w:tcPr>
          <w:p w14:paraId="12E3FD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sz w:val="24"/>
                <w:szCs w:val="30"/>
                <w:vertAlign w:val="baseline"/>
                <w:lang w:val="en-US" w:eastAsia="zh-CN"/>
              </w:rPr>
            </w:pPr>
            <w:r>
              <w:rPr>
                <w:rFonts w:hint="eastAsia" w:ascii="Times New Roman" w:eastAsia="宋体" w:cs="Times New Roman"/>
                <w:sz w:val="24"/>
                <w:szCs w:val="30"/>
                <w:vertAlign w:val="baseline"/>
                <w:lang w:val="en-US" w:eastAsia="zh-CN"/>
              </w:rPr>
              <w:t>40m</w:t>
            </w:r>
            <w:r>
              <w:rPr>
                <w:rFonts w:hint="eastAsia" w:ascii="Times New Roman" w:eastAsia="宋体" w:cs="Times New Roman"/>
                <w:sz w:val="24"/>
                <w:szCs w:val="30"/>
                <w:vertAlign w:val="superscript"/>
                <w:lang w:val="en-US" w:eastAsia="zh-CN"/>
              </w:rPr>
              <w:t>2</w:t>
            </w:r>
          </w:p>
        </w:tc>
      </w:tr>
    </w:tbl>
    <w:p w14:paraId="4212E222">
      <w:pPr>
        <w:keepNext w:val="0"/>
        <w:keepLines w:val="0"/>
        <w:widowControl/>
        <w:suppressLineNumbers w:val="0"/>
        <w:ind w:firstLine="640" w:firstLineChars="20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highlight w:val="none"/>
          <w:lang w:eastAsia="zh-CN"/>
        </w:rPr>
        <w:t>评审</w:t>
      </w:r>
      <w:r>
        <w:rPr>
          <w:rFonts w:hint="eastAsia" w:ascii="黑体" w:hAnsi="黑体" w:eastAsia="黑体" w:cs="黑体"/>
          <w:b w:val="0"/>
          <w:bCs w:val="0"/>
          <w:color w:val="auto"/>
          <w:sz w:val="32"/>
          <w:szCs w:val="32"/>
          <w:highlight w:val="none"/>
        </w:rPr>
        <w:t>方法和标准</w:t>
      </w:r>
    </w:p>
    <w:p w14:paraId="7E655D73">
      <w:pPr>
        <w:keepNext w:val="0"/>
        <w:keepLines w:val="0"/>
        <w:pageBreakBefore w:val="0"/>
        <w:widowControl w:val="0"/>
        <w:kinsoku/>
        <w:wordWrap/>
        <w:overflowPunct/>
        <w:topLinePunct w:val="0"/>
        <w:autoSpaceDE/>
        <w:autoSpaceDN/>
        <w:bidi w:val="0"/>
        <w:adjustRightInd/>
        <w:snapToGrid w:val="0"/>
        <w:ind w:left="0" w:leftChars="0" w:right="0" w:rightChars="0" w:firstLine="560" w:firstLineChars="200"/>
        <w:jc w:val="left"/>
        <w:textAlignment w:val="auto"/>
        <w:rPr>
          <w:rFonts w:hint="eastAsia" w:ascii="黑体" w:hAnsi="黑体" w:eastAsia="黑体" w:cs="黑体"/>
          <w:b w:val="0"/>
          <w:bCs w:val="0"/>
          <w:color w:val="auto"/>
          <w:sz w:val="24"/>
          <w:szCs w:val="24"/>
          <w:highlight w:val="none"/>
        </w:rPr>
      </w:pPr>
      <w:r>
        <w:rPr>
          <w:rFonts w:hint="default" w:ascii="Times New Roman" w:hAnsi="Times New Roman" w:eastAsia="宋体" w:cs="Times New Roman"/>
          <w:sz w:val="28"/>
          <w:szCs w:val="28"/>
          <w:lang w:val="en-US" w:eastAsia="zh-CN"/>
        </w:rPr>
        <w:t>本项目询价评审采用综合评分法，严格按照评审最终得分对各响应供应商进行排序，评分结果遵循得分从高至低依次排列的原则。若不同供应商评审综合得分一致时，优先按照技术响应得分从高至低进行顺位排序，以此确定最终询价评审名次。</w:t>
      </w:r>
    </w:p>
    <w:tbl>
      <w:tblPr>
        <w:tblStyle w:val="5"/>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2084"/>
        <w:gridCol w:w="1251"/>
        <w:gridCol w:w="5409"/>
      </w:tblGrid>
      <w:tr w14:paraId="4810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2865" w:type="dxa"/>
            <w:gridSpan w:val="2"/>
            <w:shd w:val="clear" w:color="auto" w:fill="FFFFFF"/>
            <w:vAlign w:val="center"/>
          </w:tcPr>
          <w:p w14:paraId="5D16C174">
            <w:pPr>
              <w:snapToGrid w:val="0"/>
              <w:spacing w:line="240" w:lineRule="auto"/>
              <w:ind w:left="0" w:leftChars="0" w:right="0" w:rightChars="0" w:firstLine="0" w:firstLineChars="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评审项目</w:t>
            </w:r>
          </w:p>
        </w:tc>
        <w:tc>
          <w:tcPr>
            <w:tcW w:w="1251" w:type="dxa"/>
            <w:shd w:val="clear" w:color="auto" w:fill="FFFFFF"/>
            <w:vAlign w:val="center"/>
          </w:tcPr>
          <w:p w14:paraId="511BF003">
            <w:pPr>
              <w:snapToGrid w:val="0"/>
              <w:spacing w:line="240" w:lineRule="auto"/>
              <w:ind w:left="0" w:leftChars="0" w:right="0" w:rightChars="0" w:firstLine="0" w:firstLineChars="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标准分</w:t>
            </w:r>
          </w:p>
        </w:tc>
        <w:tc>
          <w:tcPr>
            <w:tcW w:w="5409" w:type="dxa"/>
            <w:shd w:val="clear" w:color="auto" w:fill="FFFFFF"/>
            <w:vAlign w:val="center"/>
          </w:tcPr>
          <w:p w14:paraId="735B8186">
            <w:pPr>
              <w:snapToGrid w:val="0"/>
              <w:spacing w:line="240" w:lineRule="auto"/>
              <w:ind w:left="0" w:leftChars="0" w:right="0" w:rightChars="0" w:firstLine="0" w:firstLineChars="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评分标准</w:t>
            </w:r>
          </w:p>
        </w:tc>
      </w:tr>
      <w:tr w14:paraId="22FE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781" w:type="dxa"/>
            <w:vAlign w:val="center"/>
          </w:tcPr>
          <w:p w14:paraId="04691A5E">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w:t>
            </w:r>
          </w:p>
          <w:p w14:paraId="4538E3C3">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w:t>
            </w:r>
          </w:p>
          <w:p w14:paraId="623804F9">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w:t>
            </w:r>
          </w:p>
          <w:p w14:paraId="2B3D871F">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w:t>
            </w:r>
          </w:p>
        </w:tc>
        <w:tc>
          <w:tcPr>
            <w:tcW w:w="2084" w:type="dxa"/>
            <w:vAlign w:val="center"/>
          </w:tcPr>
          <w:p w14:paraId="18541688">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最终报价</w:t>
            </w:r>
          </w:p>
        </w:tc>
        <w:tc>
          <w:tcPr>
            <w:tcW w:w="1251" w:type="dxa"/>
            <w:vAlign w:val="center"/>
          </w:tcPr>
          <w:p w14:paraId="75E6874B">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30分</w:t>
            </w:r>
          </w:p>
        </w:tc>
        <w:tc>
          <w:tcPr>
            <w:tcW w:w="5409" w:type="dxa"/>
            <w:vAlign w:val="center"/>
          </w:tcPr>
          <w:p w14:paraId="38539730">
            <w:pPr>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实际得分为：基准价</w:t>
            </w:r>
            <w:r>
              <w:rPr>
                <w:rFonts w:hint="default" w:ascii="Times New Roman" w:hAnsi="Times New Roman" w:eastAsia="宋体" w:cs="Times New Roman"/>
                <w:sz w:val="24"/>
                <w:szCs w:val="24"/>
              </w:rPr>
              <w:t>÷</w:t>
            </w:r>
            <w:r>
              <w:rPr>
                <w:rFonts w:hint="eastAsia" w:ascii="仿宋_GB2312" w:hAnsi="仿宋_GB2312" w:eastAsia="仿宋_GB2312" w:cs="仿宋_GB2312"/>
                <w:sz w:val="28"/>
                <w:szCs w:val="28"/>
              </w:rPr>
              <w:t>报价×30。</w:t>
            </w:r>
          </w:p>
          <w:p w14:paraId="0A75BD8C">
            <w:pPr>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基准价为有效报价的最低价。（四舍五入后保留小数点后两位）</w:t>
            </w:r>
          </w:p>
        </w:tc>
      </w:tr>
      <w:tr w14:paraId="6850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781" w:type="dxa"/>
            <w:vMerge w:val="restart"/>
            <w:vAlign w:val="center"/>
          </w:tcPr>
          <w:p w14:paraId="326A35F6">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w:t>
            </w:r>
          </w:p>
          <w:p w14:paraId="70A281D3">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务</w:t>
            </w:r>
          </w:p>
          <w:p w14:paraId="47FE03BC">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w:t>
            </w:r>
          </w:p>
          <w:p w14:paraId="25A00AAA">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w:t>
            </w:r>
          </w:p>
        </w:tc>
        <w:tc>
          <w:tcPr>
            <w:tcW w:w="2084" w:type="dxa"/>
            <w:vAlign w:val="center"/>
          </w:tcPr>
          <w:p w14:paraId="2D510879">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业绩</w:t>
            </w:r>
          </w:p>
        </w:tc>
        <w:tc>
          <w:tcPr>
            <w:tcW w:w="1251" w:type="dxa"/>
            <w:vAlign w:val="center"/>
          </w:tcPr>
          <w:p w14:paraId="03D11E60">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5409" w:type="dxa"/>
            <w:vAlign w:val="center"/>
          </w:tcPr>
          <w:p w14:paraId="784DC849">
            <w:pPr>
              <w:widowControl/>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提供供应商近三年（202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月至今）类似业绩的，有一项得</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分，最多得</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分。</w:t>
            </w:r>
          </w:p>
          <w:p w14:paraId="00F66E2B">
            <w:pPr>
              <w:widowControl/>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以上业绩中包含有学校项目，得1分。</w:t>
            </w:r>
          </w:p>
          <w:p w14:paraId="40DB39AE">
            <w:pPr>
              <w:widowControl/>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注：供应商需提供相对应的合同</w:t>
            </w:r>
            <w:r>
              <w:rPr>
                <w:rFonts w:hint="eastAsia" w:ascii="仿宋_GB2312" w:hAnsi="仿宋_GB2312" w:eastAsia="仿宋_GB2312" w:cs="仿宋_GB2312"/>
                <w:b/>
                <w:bCs/>
                <w:sz w:val="28"/>
                <w:szCs w:val="28"/>
                <w:lang w:val="en-US" w:eastAsia="zh-CN"/>
              </w:rPr>
              <w:t>及</w:t>
            </w:r>
            <w:r>
              <w:rPr>
                <w:rFonts w:hint="eastAsia" w:ascii="仿宋_GB2312" w:hAnsi="仿宋_GB2312" w:eastAsia="仿宋_GB2312" w:cs="仿宋_GB2312"/>
                <w:b/>
                <w:bCs/>
                <w:sz w:val="28"/>
                <w:szCs w:val="28"/>
              </w:rPr>
              <w:t>验收报告（或使用评价），</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 xml:space="preserve">者缺一不可，响应文件中附相应证明材料的原件扫描件并加公章，否则不得分。 </w:t>
            </w:r>
          </w:p>
        </w:tc>
      </w:tr>
      <w:tr w14:paraId="5BC3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781" w:type="dxa"/>
            <w:vMerge w:val="continue"/>
            <w:vAlign w:val="center"/>
          </w:tcPr>
          <w:p w14:paraId="004A8336">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tc>
        <w:tc>
          <w:tcPr>
            <w:tcW w:w="2084" w:type="dxa"/>
            <w:vAlign w:val="center"/>
          </w:tcPr>
          <w:p w14:paraId="691B905C">
            <w:pPr>
              <w:keepNext/>
              <w:adjustRightInd w:val="0"/>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质保期</w:t>
            </w:r>
          </w:p>
        </w:tc>
        <w:tc>
          <w:tcPr>
            <w:tcW w:w="1251" w:type="dxa"/>
            <w:vAlign w:val="center"/>
          </w:tcPr>
          <w:p w14:paraId="50E3E776">
            <w:pPr>
              <w:keepNext/>
              <w:adjustRightInd w:val="0"/>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分</w:t>
            </w:r>
          </w:p>
        </w:tc>
        <w:tc>
          <w:tcPr>
            <w:tcW w:w="5409" w:type="dxa"/>
            <w:vAlign w:val="center"/>
          </w:tcPr>
          <w:p w14:paraId="390660AE">
            <w:pPr>
              <w:keepNext/>
              <w:snapToGrid w:val="0"/>
              <w:spacing w:line="240" w:lineRule="auto"/>
              <w:ind w:left="0" w:leftChars="0" w:right="0" w:rightChars="0" w:firstLine="0" w:firstLineChars="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针对本项目所有采购货物，质保期在满足</w:t>
            </w:r>
            <w:r>
              <w:rPr>
                <w:rFonts w:hint="eastAsia" w:ascii="仿宋_GB2312" w:hAnsi="仿宋_GB2312" w:eastAsia="仿宋_GB2312" w:cs="仿宋_GB2312"/>
                <w:color w:val="000000"/>
                <w:sz w:val="28"/>
                <w:szCs w:val="28"/>
                <w:lang w:val="en-US" w:eastAsia="zh-CN"/>
              </w:rPr>
              <w:t>询价方案</w:t>
            </w:r>
            <w:r>
              <w:rPr>
                <w:rFonts w:hint="eastAsia" w:ascii="仿宋_GB2312" w:hAnsi="仿宋_GB2312" w:eastAsia="仿宋_GB2312" w:cs="仿宋_GB2312"/>
                <w:color w:val="000000"/>
                <w:sz w:val="28"/>
                <w:szCs w:val="28"/>
              </w:rPr>
              <w:t>的基础上，每延长一年的加</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分，本项最高得</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分。</w:t>
            </w:r>
          </w:p>
          <w:p w14:paraId="614C56F7">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color w:val="000000"/>
                <w:sz w:val="28"/>
                <w:szCs w:val="28"/>
              </w:rPr>
              <w:t>注：响应文件中附承诺函（格式自拟）并加盖公章/电子公章，否则不得分。</w:t>
            </w:r>
          </w:p>
        </w:tc>
      </w:tr>
      <w:tr w14:paraId="260C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1" w:type="dxa"/>
            <w:vMerge w:val="restart"/>
            <w:vAlign w:val="center"/>
          </w:tcPr>
          <w:p w14:paraId="692C02C9">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15143B59">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54D8D0CD">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090BFD22">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5457CE47">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284E9B65">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35E8A275">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06AF254C">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3B155B4A">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2466986C">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462A2A3E">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w:t>
            </w:r>
          </w:p>
          <w:p w14:paraId="4F14EF05">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术</w:t>
            </w:r>
          </w:p>
          <w:p w14:paraId="2999BEB2">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w:t>
            </w:r>
          </w:p>
          <w:p w14:paraId="663DC7F8">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w:t>
            </w:r>
          </w:p>
        </w:tc>
        <w:tc>
          <w:tcPr>
            <w:tcW w:w="2084" w:type="dxa"/>
            <w:vAlign w:val="center"/>
          </w:tcPr>
          <w:p w14:paraId="4DCB3016">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36134D34">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2D3DEFBF">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4BAC0C44">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p w14:paraId="4B3D5460">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技术响应</w:t>
            </w:r>
          </w:p>
        </w:tc>
        <w:tc>
          <w:tcPr>
            <w:tcW w:w="1251" w:type="dxa"/>
            <w:vAlign w:val="center"/>
          </w:tcPr>
          <w:p w14:paraId="4BAB5D15">
            <w:pPr>
              <w:snapToGrid w:val="0"/>
              <w:spacing w:line="240" w:lineRule="auto"/>
              <w:ind w:left="0" w:leftChars="0" w:right="0" w:rightChars="0" w:firstLine="280" w:firstLineChars="100"/>
              <w:jc w:val="both"/>
              <w:rPr>
                <w:rFonts w:hint="eastAsia" w:ascii="仿宋_GB2312" w:hAnsi="仿宋_GB2312" w:eastAsia="仿宋_GB2312" w:cs="仿宋_GB2312"/>
                <w:sz w:val="28"/>
                <w:szCs w:val="28"/>
              </w:rPr>
            </w:pPr>
          </w:p>
          <w:p w14:paraId="21EB6BB1">
            <w:pPr>
              <w:snapToGrid w:val="0"/>
              <w:spacing w:line="240" w:lineRule="auto"/>
              <w:ind w:left="0" w:leftChars="0" w:right="0" w:rightChars="0" w:firstLine="280" w:firstLineChars="100"/>
              <w:jc w:val="both"/>
              <w:rPr>
                <w:rFonts w:hint="eastAsia" w:ascii="仿宋_GB2312" w:hAnsi="仿宋_GB2312" w:eastAsia="仿宋_GB2312" w:cs="仿宋_GB2312"/>
                <w:sz w:val="28"/>
                <w:szCs w:val="28"/>
              </w:rPr>
            </w:pPr>
          </w:p>
          <w:p w14:paraId="44380B53">
            <w:pPr>
              <w:snapToGrid w:val="0"/>
              <w:spacing w:line="240" w:lineRule="auto"/>
              <w:ind w:left="0" w:leftChars="0" w:right="0" w:rightChars="0" w:firstLine="280" w:firstLineChars="100"/>
              <w:jc w:val="both"/>
              <w:rPr>
                <w:rFonts w:hint="eastAsia" w:ascii="仿宋_GB2312" w:hAnsi="仿宋_GB2312" w:eastAsia="仿宋_GB2312" w:cs="仿宋_GB2312"/>
                <w:sz w:val="28"/>
                <w:szCs w:val="28"/>
              </w:rPr>
            </w:pPr>
          </w:p>
          <w:p w14:paraId="3CF573D1">
            <w:pPr>
              <w:snapToGrid w:val="0"/>
              <w:spacing w:line="240" w:lineRule="auto"/>
              <w:ind w:left="0" w:leftChars="0" w:right="0" w:rightChars="0" w:firstLine="280" w:firstLineChars="100"/>
              <w:jc w:val="both"/>
              <w:rPr>
                <w:rFonts w:hint="eastAsia" w:ascii="仿宋_GB2312" w:hAnsi="仿宋_GB2312" w:eastAsia="仿宋_GB2312" w:cs="仿宋_GB2312"/>
                <w:sz w:val="28"/>
                <w:szCs w:val="28"/>
              </w:rPr>
            </w:pPr>
          </w:p>
          <w:p w14:paraId="03174762">
            <w:pPr>
              <w:snapToGrid w:val="0"/>
              <w:spacing w:line="240" w:lineRule="auto"/>
              <w:ind w:left="0" w:leftChars="0" w:right="0" w:rightChars="0" w:firstLine="280" w:firstLineChars="1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分</w:t>
            </w:r>
          </w:p>
        </w:tc>
        <w:tc>
          <w:tcPr>
            <w:tcW w:w="5409" w:type="dxa"/>
            <w:vAlign w:val="center"/>
          </w:tcPr>
          <w:p w14:paraId="423E5D6B">
            <w:pPr>
              <w:keepNext/>
              <w:snapToGrid w:val="0"/>
              <w:spacing w:line="240" w:lineRule="auto"/>
              <w:ind w:left="0" w:leftChars="0" w:right="0" w:rightChars="0" w:firstLine="0" w:firstLineChars="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本项目所有产品技术参数逐条独立计分，单条基础分值1分，供应商响应完全满足对应技术指标、参数要求的，每条可得1分，所有参数累计最高得分34分；参数不满足、缺项，该条参数不得分。</w:t>
            </w:r>
          </w:p>
          <w:p w14:paraId="44DDA40D">
            <w:pPr>
              <w:keepNext/>
              <w:snapToGrid w:val="0"/>
              <w:spacing w:line="240" w:lineRule="auto"/>
              <w:ind w:left="0" w:leftChars="0" w:right="0" w:rightChars="0" w:firstLine="0" w:firstLineChars="0"/>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提供产品具备有效中体联认证得2.5分，FIBA认证得2.5分，未提供不得分；提供生产厂家授权书得1分，未提供不得分，最高得6分。</w:t>
            </w:r>
          </w:p>
          <w:p w14:paraId="108C8B0D">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000000"/>
                <w:sz w:val="28"/>
                <w:szCs w:val="28"/>
                <w:lang w:val="en-US" w:eastAsia="zh-CN"/>
              </w:rPr>
              <w:t>注：供应商须在技术要求响应表中逐项列明产品响应情况。所有技术参数响应内容，均须附带加盖供应商公章的佐证材料（包括但不限于产品技术白皮书、官方说明书、产品彩页、第三方检测报告等有效资料），佐证材料须清晰可辨、真实有效，并对应附于技术要求响应表后。未提供佐证材料、材料无效、信息模糊、无法对应参数的，对应参数条目不予计分。</w:t>
            </w:r>
          </w:p>
        </w:tc>
      </w:tr>
      <w:tr w14:paraId="0AF6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1" w:type="dxa"/>
            <w:vMerge w:val="continue"/>
            <w:vAlign w:val="center"/>
          </w:tcPr>
          <w:p w14:paraId="4174A2A5">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tc>
        <w:tc>
          <w:tcPr>
            <w:tcW w:w="2084" w:type="dxa"/>
            <w:vAlign w:val="center"/>
          </w:tcPr>
          <w:p w14:paraId="71F08B3B">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实施方案</w:t>
            </w:r>
          </w:p>
        </w:tc>
        <w:tc>
          <w:tcPr>
            <w:tcW w:w="1251" w:type="dxa"/>
            <w:vAlign w:val="center"/>
          </w:tcPr>
          <w:p w14:paraId="0B931293">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w:t>
            </w:r>
          </w:p>
        </w:tc>
        <w:tc>
          <w:tcPr>
            <w:tcW w:w="5409" w:type="dxa"/>
            <w:vAlign w:val="center"/>
          </w:tcPr>
          <w:p w14:paraId="2806CA1E">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供应商针对本项目提供实施方案：（1）实施计划和进度保障措施；（2）安装调试及稳定性运行方案；（3）</w:t>
            </w:r>
            <w:r>
              <w:rPr>
                <w:rFonts w:hint="eastAsia" w:ascii="仿宋_GB2312" w:hAnsi="仿宋_GB2312" w:eastAsia="仿宋_GB2312" w:cs="仿宋_GB2312"/>
                <w:color w:val="000000"/>
                <w:sz w:val="28"/>
                <w:szCs w:val="28"/>
              </w:rPr>
              <w:t>实施</w:t>
            </w:r>
            <w:r>
              <w:rPr>
                <w:rFonts w:hint="eastAsia" w:ascii="仿宋_GB2312" w:hAnsi="仿宋_GB2312" w:eastAsia="仿宋_GB2312" w:cs="仿宋_GB2312"/>
                <w:sz w:val="28"/>
                <w:szCs w:val="28"/>
              </w:rPr>
              <w:t>各阶段人员配置；（4）产品安全、质量保证措施及应急预案。</w:t>
            </w:r>
          </w:p>
          <w:p w14:paraId="7D21AF82">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上述四项内容分析完整，与项目需求吻合，思路清晰，层次细化，有具体详细的阐述且符合项目要求的得</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分，每缺少一项内容扣</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分，每有一处内容存在缺陷或不足的扣1分，扣完为止。</w:t>
            </w:r>
          </w:p>
        </w:tc>
      </w:tr>
      <w:tr w14:paraId="37DE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1" w:type="dxa"/>
            <w:vMerge w:val="continue"/>
            <w:vAlign w:val="center"/>
          </w:tcPr>
          <w:p w14:paraId="7195309A">
            <w:pPr>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p>
        </w:tc>
        <w:tc>
          <w:tcPr>
            <w:tcW w:w="2084" w:type="dxa"/>
            <w:vAlign w:val="center"/>
          </w:tcPr>
          <w:p w14:paraId="45BFC187">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售后服务方案</w:t>
            </w:r>
          </w:p>
        </w:tc>
        <w:tc>
          <w:tcPr>
            <w:tcW w:w="1251" w:type="dxa"/>
            <w:vAlign w:val="center"/>
          </w:tcPr>
          <w:p w14:paraId="11B98298">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分</w:t>
            </w:r>
          </w:p>
        </w:tc>
        <w:tc>
          <w:tcPr>
            <w:tcW w:w="5409" w:type="dxa"/>
            <w:vAlign w:val="center"/>
          </w:tcPr>
          <w:p w14:paraId="4CDA28F6">
            <w:pPr>
              <w:keepNext/>
              <w:snapToGrid w:val="0"/>
              <w:spacing w:line="240" w:lineRule="auto"/>
              <w:ind w:left="0" w:leftChars="0" w:right="0" w:rightChars="0" w:firstLine="0" w:firstLineChars="0"/>
              <w:jc w:val="left"/>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b/>
                <w:bCs/>
                <w:sz w:val="28"/>
                <w:szCs w:val="28"/>
              </w:rPr>
              <w:t>供应商针对本项目提供售后服务方案：</w:t>
            </w:r>
            <w:r>
              <w:rPr>
                <w:rFonts w:hint="eastAsia" w:ascii="仿宋_GB2312" w:hAnsi="仿宋_GB2312" w:eastAsia="仿宋_GB2312" w:cs="仿宋_GB2312"/>
                <w:color w:val="000000"/>
                <w:kern w:val="0"/>
                <w:sz w:val="28"/>
                <w:szCs w:val="28"/>
                <w:lang w:bidi="ar"/>
              </w:rPr>
              <w:t>（1）</w:t>
            </w:r>
            <w:r>
              <w:rPr>
                <w:rFonts w:hint="eastAsia" w:ascii="仿宋_GB2312" w:hAnsi="仿宋_GB2312" w:eastAsia="仿宋_GB2312" w:cs="仿宋_GB2312"/>
                <w:color w:val="000000"/>
                <w:sz w:val="28"/>
                <w:szCs w:val="28"/>
              </w:rPr>
              <w:t>质量保修范围及质保承诺；（2</w:t>
            </w:r>
            <w:r>
              <w:rPr>
                <w:rFonts w:hint="eastAsia" w:ascii="仿宋_GB2312" w:hAnsi="仿宋_GB2312" w:eastAsia="仿宋_GB2312" w:cs="仿宋_GB2312"/>
                <w:sz w:val="28"/>
                <w:szCs w:val="28"/>
              </w:rPr>
              <w:t>）设备</w:t>
            </w:r>
            <w:r>
              <w:rPr>
                <w:rFonts w:hint="eastAsia" w:ascii="仿宋_GB2312" w:hAnsi="仿宋_GB2312" w:eastAsia="仿宋_GB2312" w:cs="仿宋_GB2312"/>
                <w:kern w:val="0"/>
                <w:sz w:val="28"/>
                <w:szCs w:val="28"/>
                <w:lang w:bidi="ar"/>
              </w:rPr>
              <w:t>各类</w:t>
            </w:r>
            <w:r>
              <w:rPr>
                <w:rFonts w:hint="eastAsia" w:ascii="仿宋_GB2312" w:hAnsi="仿宋_GB2312" w:eastAsia="仿宋_GB2312" w:cs="仿宋_GB2312"/>
                <w:sz w:val="28"/>
                <w:szCs w:val="28"/>
              </w:rPr>
              <w:t>故障问题解决方案及设备更换方案；（3）现场服务响应时</w:t>
            </w:r>
            <w:r>
              <w:rPr>
                <w:rFonts w:hint="eastAsia" w:ascii="仿宋_GB2312" w:hAnsi="仿宋_GB2312" w:eastAsia="仿宋_GB2312" w:cs="仿宋_GB2312"/>
                <w:kern w:val="0"/>
                <w:sz w:val="28"/>
                <w:szCs w:val="28"/>
                <w:lang w:bidi="ar"/>
              </w:rPr>
              <w:t>间及设备故障处理时限</w:t>
            </w:r>
            <w:r>
              <w:rPr>
                <w:rFonts w:hint="eastAsia" w:ascii="仿宋_GB2312" w:hAnsi="仿宋_GB2312" w:eastAsia="仿宋_GB2312" w:cs="仿宋_GB2312"/>
                <w:kern w:val="0"/>
                <w:sz w:val="28"/>
                <w:szCs w:val="28"/>
                <w:lang w:eastAsia="zh-CN" w:bidi="ar"/>
              </w:rPr>
              <w:t>。</w:t>
            </w:r>
          </w:p>
          <w:p w14:paraId="09402958">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项内容分析完整，与项目需求吻合，思路清晰，层次细化，有具体详细的阐述且符合项目要求的得</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分，每缺少一项内容扣2分，扣完为止。</w:t>
            </w:r>
          </w:p>
          <w:p w14:paraId="1173ED7C">
            <w:pPr>
              <w:keepNext/>
              <w:snapToGrid w:val="0"/>
              <w:spacing w:line="240" w:lineRule="auto"/>
              <w:ind w:left="0" w:leftChars="0" w:right="0" w:rightChars="0" w:firstLine="0" w:firstLineChars="0"/>
              <w:jc w:val="left"/>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rPr>
              <w:t>售后服务方案内容存在缺陷或不足指以下任意一种情形:方案内容不切合行业实际；不符合国家法规及政策；存在方案生搬硬套;与实际情况不符，存在偏差；方案内容过于简略</w:t>
            </w:r>
            <w:r>
              <w:rPr>
                <w:rFonts w:hint="eastAsia" w:ascii="仿宋_GB2312" w:hAnsi="仿宋_GB2312" w:eastAsia="仿宋_GB2312" w:cs="仿宋_GB2312"/>
                <w:b/>
                <w:bCs/>
                <w:sz w:val="28"/>
                <w:szCs w:val="28"/>
                <w:lang w:eastAsia="zh-CN"/>
              </w:rPr>
              <w:t>。</w:t>
            </w:r>
          </w:p>
        </w:tc>
      </w:tr>
    </w:tbl>
    <w:p w14:paraId="1BF62AD3"/>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0AF654-A840-4A90-8092-AB3F11B665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3A1DC7F8-CC3A-4E9F-AFEC-81EF341B5D77}"/>
  </w:font>
  <w:font w:name="方正楷体_GBK">
    <w:altName w:val="微软雅黑"/>
    <w:panose1 w:val="02000000000000000000"/>
    <w:charset w:val="86"/>
    <w:family w:val="auto"/>
    <w:pitch w:val="default"/>
    <w:sig w:usb0="00000000" w:usb1="00000000" w:usb2="00000000" w:usb3="00000000" w:csb0="00040000" w:csb1="00000000"/>
    <w:embedRegular r:id="rId3" w:fontKey="{64A3BAF9-7E61-4A81-AF01-55395D9191B8}"/>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embedRegular r:id="rId4" w:fontKey="{D82D51D1-3DE6-4D91-997E-9E37ED752382}"/>
  </w:font>
  <w:font w:name="仿宋_GB2312">
    <w:panose1 w:val="02010609030101010101"/>
    <w:charset w:val="86"/>
    <w:family w:val="modern"/>
    <w:pitch w:val="default"/>
    <w:sig w:usb0="00000001" w:usb1="080E0000" w:usb2="00000000" w:usb3="00000000" w:csb0="00040000" w:csb1="00000000"/>
    <w:embedRegular r:id="rId5" w:fontKey="{E39410DF-C2BF-4F55-BDF2-1BF040745D94}"/>
  </w:font>
  <w:font w:name="仿宋">
    <w:panose1 w:val="02010609060101010101"/>
    <w:charset w:val="86"/>
    <w:family w:val="modern"/>
    <w:pitch w:val="default"/>
    <w:sig w:usb0="800002BF" w:usb1="38CF7CFA" w:usb2="00000016" w:usb3="00000000" w:csb0="00040001" w:csb1="00000000"/>
    <w:embedRegular r:id="rId6" w:fontKey="{6B266E12-1EEE-48FF-B71B-DCE4EC1E1985}"/>
  </w:font>
  <w:font w:name="KSOFF21A05E0">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7A7A0">
    <w:pPr>
      <w:pStyle w:val="4"/>
      <w:jc w:val="center"/>
    </w:pPr>
    <w:r>
      <w:fldChar w:fldCharType="begin"/>
    </w:r>
    <w:r>
      <w:instrText xml:space="preserve">PAGE   \* MERGEFORMAT</w:instrText>
    </w:r>
    <w:r>
      <w:fldChar w:fldCharType="separate"/>
    </w:r>
    <w:r>
      <w:rPr>
        <w:lang w:val="zh-CN"/>
      </w:rPr>
      <w:t>2</w:t>
    </w:r>
    <w:r>
      <w:fldChar w:fldCharType="end"/>
    </w:r>
  </w:p>
  <w:p w14:paraId="22E6E74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2C426"/>
    <w:multiLevelType w:val="singleLevel"/>
    <w:tmpl w:val="3572C42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636A9"/>
    <w:rsid w:val="079F3753"/>
    <w:rsid w:val="08253634"/>
    <w:rsid w:val="103A226A"/>
    <w:rsid w:val="1317163A"/>
    <w:rsid w:val="14997EA7"/>
    <w:rsid w:val="17936A31"/>
    <w:rsid w:val="1C213B40"/>
    <w:rsid w:val="207D067D"/>
    <w:rsid w:val="23F137C3"/>
    <w:rsid w:val="2B796BC6"/>
    <w:rsid w:val="2C1F083A"/>
    <w:rsid w:val="33686F6B"/>
    <w:rsid w:val="348C6C89"/>
    <w:rsid w:val="405414FC"/>
    <w:rsid w:val="45FE550D"/>
    <w:rsid w:val="4977690E"/>
    <w:rsid w:val="4D701547"/>
    <w:rsid w:val="4F4F2935"/>
    <w:rsid w:val="51752B27"/>
    <w:rsid w:val="56674A08"/>
    <w:rsid w:val="67D87514"/>
    <w:rsid w:val="6A8517E7"/>
    <w:rsid w:val="6C2E3BA6"/>
    <w:rsid w:val="72B636A9"/>
    <w:rsid w:val="74624D35"/>
    <w:rsid w:val="7C060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2749</Words>
  <Characters>3180</Characters>
  <Lines>0</Lines>
  <Paragraphs>0</Paragraphs>
  <TotalTime>0</TotalTime>
  <ScaleCrop>false</ScaleCrop>
  <LinksUpToDate>false</LinksUpToDate>
  <CharactersWithSpaces>3305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2026-07-24T14:07:00Z</dcterms:created>
  <dc:creator>贾靖</dc:creator>
  <cp:lastModifiedBy>贾靖</cp:lastModifiedBy>
  <dcterms:modified xsi:type="dcterms:W3CDTF">2026-07-25T13:01:51Z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9ABF0DEA82634BD6BF483AA3F53AB8AD_11</vt:lpwstr>
  </property>
  <property fmtid="{D5CDD505-2E9C-101B-9397-08002B2CF9AE}" pid="4" name="KSOTemplateDocerSaveRecord">
    <vt:lpwstr>eyJoZGlkIjoiMzhiMWY1ZGUyNGQ4ZmMxZThmMjFlNWMxOTcxMjMyY2QiLCJ1c2VySWQiOiI1NjYyNjQ5NzMifQ==</vt:lpwstr>
  </property>
</Properties>
</file>